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094CF" w14:textId="70D921B1" w:rsidR="00580C15" w:rsidRPr="00580C15" w:rsidRDefault="00580C15" w:rsidP="007D5CED">
      <w:pPr>
        <w:jc w:val="center"/>
        <w:rPr>
          <w:b/>
          <w:bCs/>
          <w:sz w:val="24"/>
          <w:szCs w:val="24"/>
          <w:u w:val="single"/>
          <w:lang w:eastAsia="fr-CA"/>
        </w:rPr>
      </w:pPr>
      <w:r w:rsidRPr="00580C15">
        <w:rPr>
          <w:b/>
          <w:bCs/>
          <w:sz w:val="24"/>
          <w:szCs w:val="24"/>
          <w:u w:val="single"/>
          <w:lang w:eastAsia="fr-CA"/>
        </w:rPr>
        <w:t>Demande LAI-2021-2022-619</w:t>
      </w:r>
    </w:p>
    <w:p w14:paraId="63B17C7F" w14:textId="77777777" w:rsidR="00580C15" w:rsidRDefault="00580C15" w:rsidP="00580C15">
      <w:pPr>
        <w:autoSpaceDE w:val="0"/>
        <w:autoSpaceDN w:val="0"/>
        <w:jc w:val="both"/>
        <w:rPr>
          <w:lang w:eastAsia="fr-CA"/>
        </w:rPr>
      </w:pPr>
    </w:p>
    <w:p w14:paraId="62497FF8" w14:textId="7B3F8077" w:rsidR="00580C15" w:rsidRPr="00580C15" w:rsidRDefault="00580C15" w:rsidP="00580C15">
      <w:pPr>
        <w:pStyle w:val="Paragraphedeliste"/>
        <w:numPr>
          <w:ilvl w:val="0"/>
          <w:numId w:val="5"/>
        </w:numPr>
        <w:autoSpaceDE w:val="0"/>
        <w:autoSpaceDN w:val="0"/>
        <w:jc w:val="both"/>
        <w:rPr>
          <w:b/>
          <w:bCs/>
        </w:rPr>
      </w:pPr>
      <w:r w:rsidRPr="00580C15">
        <w:rPr>
          <w:b/>
          <w:bCs/>
        </w:rPr>
        <w:t>Le nombre de travailleurs de la santé en arrêt prolongé pour invalidité ou maladie depuis mars 2020, ventilé par mois, par CISSS et CIUSSS ainsi que par catégorie d’emploi.</w:t>
      </w:r>
    </w:p>
    <w:p w14:paraId="04A8DAC5" w14:textId="77777777" w:rsidR="00580C15" w:rsidRDefault="00580C15" w:rsidP="00580C15">
      <w:pPr>
        <w:autoSpaceDE w:val="0"/>
        <w:autoSpaceDN w:val="0"/>
        <w:rPr>
          <w:b/>
          <w:bCs/>
        </w:rPr>
      </w:pPr>
    </w:p>
    <w:p w14:paraId="38BF44D4" w14:textId="6AEB05DF" w:rsidR="00580C15" w:rsidRPr="00C415FA" w:rsidRDefault="004D3A71" w:rsidP="00C415FA">
      <w:pPr>
        <w:autoSpaceDE w:val="0"/>
        <w:autoSpaceDN w:val="0"/>
        <w:jc w:val="both"/>
        <w:rPr>
          <w:color w:val="000000" w:themeColor="text1"/>
        </w:rPr>
      </w:pPr>
      <w:r>
        <w:rPr>
          <w:color w:val="000000" w:themeColor="text1"/>
        </w:rPr>
        <w:t xml:space="preserve">Le ministère de la Santé et des Services sociaux (MSSS) ne détient </w:t>
      </w:r>
      <w:r w:rsidR="00580C15" w:rsidRPr="00C415FA">
        <w:rPr>
          <w:color w:val="000000" w:themeColor="text1"/>
        </w:rPr>
        <w:t xml:space="preserve">aucune </w:t>
      </w:r>
      <w:r>
        <w:rPr>
          <w:color w:val="000000" w:themeColor="text1"/>
        </w:rPr>
        <w:t>donnée</w:t>
      </w:r>
      <w:r w:rsidR="00580C15" w:rsidRPr="00C415FA">
        <w:rPr>
          <w:color w:val="000000" w:themeColor="text1"/>
        </w:rPr>
        <w:t xml:space="preserve"> qui traduise ces informations avec fiabilité pour l’instant. Les invalidités sont historiquement mesurées en taux, en comparaison à l’ensemble des heures travaillées. </w:t>
      </w:r>
      <w:r>
        <w:rPr>
          <w:color w:val="000000" w:themeColor="text1"/>
        </w:rPr>
        <w:t xml:space="preserve">Le MSSS effectue des </w:t>
      </w:r>
      <w:r w:rsidR="00580C15" w:rsidRPr="00C415FA">
        <w:rPr>
          <w:color w:val="000000" w:themeColor="text1"/>
        </w:rPr>
        <w:t xml:space="preserve">travaux </w:t>
      </w:r>
      <w:r>
        <w:rPr>
          <w:color w:val="000000" w:themeColor="text1"/>
        </w:rPr>
        <w:t xml:space="preserve">afin d’obtenir un outil </w:t>
      </w:r>
      <w:r w:rsidR="00996E5B">
        <w:rPr>
          <w:color w:val="000000" w:themeColor="text1"/>
        </w:rPr>
        <w:t>pour mesurer ces données.</w:t>
      </w:r>
    </w:p>
    <w:p w14:paraId="37B07C07" w14:textId="77777777" w:rsidR="00580C15" w:rsidRDefault="00580C15" w:rsidP="00580C15">
      <w:pPr>
        <w:autoSpaceDE w:val="0"/>
        <w:autoSpaceDN w:val="0"/>
        <w:jc w:val="both"/>
        <w:rPr>
          <w:color w:val="ED7D31"/>
        </w:rPr>
      </w:pPr>
    </w:p>
    <w:p w14:paraId="3A445199" w14:textId="37DF5975" w:rsidR="00580C15" w:rsidRPr="00580C15" w:rsidRDefault="00580C15" w:rsidP="00580C15">
      <w:pPr>
        <w:pStyle w:val="Paragraphedeliste"/>
        <w:numPr>
          <w:ilvl w:val="0"/>
          <w:numId w:val="5"/>
        </w:numPr>
        <w:autoSpaceDE w:val="0"/>
        <w:autoSpaceDN w:val="0"/>
        <w:jc w:val="both"/>
        <w:rPr>
          <w:b/>
          <w:bCs/>
        </w:rPr>
      </w:pPr>
      <w:r w:rsidRPr="00580C15">
        <w:rPr>
          <w:b/>
          <w:bCs/>
        </w:rPr>
        <w:t>Le nombre de travailleurs de la santé ayant quitté pour la retraite depuis mars 2020, ventilé par mois, par CISSS et CIUSSS ainsi que par catégorie d’emploi.</w:t>
      </w:r>
    </w:p>
    <w:p w14:paraId="079A7497" w14:textId="77777777" w:rsidR="00580C15" w:rsidRDefault="00580C15" w:rsidP="00580C15">
      <w:pPr>
        <w:autoSpaceDE w:val="0"/>
        <w:autoSpaceDN w:val="0"/>
        <w:jc w:val="both"/>
        <w:rPr>
          <w:b/>
          <w:bCs/>
        </w:rPr>
      </w:pPr>
    </w:p>
    <w:p w14:paraId="3741B72C" w14:textId="5D752DF7" w:rsidR="00580C15" w:rsidRPr="008E5EA9" w:rsidRDefault="00580C15" w:rsidP="00580C15">
      <w:pPr>
        <w:autoSpaceDE w:val="0"/>
        <w:autoSpaceDN w:val="0"/>
        <w:jc w:val="both"/>
        <w:rPr>
          <w:b/>
          <w:bCs/>
          <w:color w:val="000000" w:themeColor="text1"/>
        </w:rPr>
      </w:pPr>
      <w:r w:rsidRPr="008E5EA9">
        <w:rPr>
          <w:color w:val="000000" w:themeColor="text1"/>
          <w:lang w:val="fr-FR"/>
        </w:rPr>
        <w:t>Nous estimons à près de 13 451 personnes le nombre d’individu</w:t>
      </w:r>
      <w:r w:rsidR="00E108B7">
        <w:rPr>
          <w:color w:val="000000" w:themeColor="text1"/>
          <w:lang w:val="fr-FR"/>
        </w:rPr>
        <w:t>s</w:t>
      </w:r>
      <w:r w:rsidRPr="008E5EA9">
        <w:rPr>
          <w:color w:val="000000" w:themeColor="text1"/>
          <w:lang w:val="fr-FR"/>
        </w:rPr>
        <w:t xml:space="preserve"> ayant quitté pour la retraite depuis le 1</w:t>
      </w:r>
      <w:r w:rsidRPr="008E5EA9">
        <w:rPr>
          <w:color w:val="000000" w:themeColor="text1"/>
          <w:vertAlign w:val="superscript"/>
          <w:lang w:val="fr-FR"/>
        </w:rPr>
        <w:t>er</w:t>
      </w:r>
      <w:r w:rsidRPr="008E5EA9">
        <w:rPr>
          <w:color w:val="000000" w:themeColor="text1"/>
          <w:lang w:val="fr-FR"/>
        </w:rPr>
        <w:t xml:space="preserve"> avril 2020. Cette estimation est tirée des informations disponibles dans les dossiers des employés et issues du traitement de la rémunération de ceux-ci, et peut diverger des informations disponibles localement au niveau des établissements.</w:t>
      </w:r>
    </w:p>
    <w:p w14:paraId="6F1CED0C" w14:textId="77777777" w:rsidR="00580C15" w:rsidRDefault="00580C15" w:rsidP="00580C15">
      <w:pPr>
        <w:autoSpaceDE w:val="0"/>
        <w:autoSpaceDN w:val="0"/>
        <w:ind w:left="708"/>
        <w:rPr>
          <w:color w:val="0070C0"/>
          <w:lang w:val="fr-FR"/>
        </w:rPr>
      </w:pPr>
    </w:p>
    <w:tbl>
      <w:tblPr>
        <w:tblW w:w="3600" w:type="dxa"/>
        <w:tblInd w:w="1218" w:type="dxa"/>
        <w:tblCellMar>
          <w:left w:w="0" w:type="dxa"/>
          <w:right w:w="0" w:type="dxa"/>
        </w:tblCellMar>
        <w:tblLook w:val="04A0" w:firstRow="1" w:lastRow="0" w:firstColumn="1" w:lastColumn="0" w:noHBand="0" w:noVBand="1"/>
      </w:tblPr>
      <w:tblGrid>
        <w:gridCol w:w="1200"/>
        <w:gridCol w:w="1200"/>
        <w:gridCol w:w="1200"/>
      </w:tblGrid>
      <w:tr w:rsidR="008E5EA9" w:rsidRPr="008E5EA9" w14:paraId="48437BF5" w14:textId="77777777" w:rsidTr="00580C15">
        <w:trPr>
          <w:trHeight w:val="300"/>
        </w:trPr>
        <w:tc>
          <w:tcPr>
            <w:tcW w:w="1200" w:type="dxa"/>
            <w:tcBorders>
              <w:top w:val="nil"/>
              <w:left w:val="nil"/>
              <w:bottom w:val="single" w:sz="8" w:space="0" w:color="auto"/>
              <w:right w:val="nil"/>
            </w:tcBorders>
            <w:noWrap/>
            <w:tcMar>
              <w:top w:w="0" w:type="dxa"/>
              <w:left w:w="70" w:type="dxa"/>
              <w:bottom w:w="0" w:type="dxa"/>
              <w:right w:w="70" w:type="dxa"/>
            </w:tcMar>
            <w:vAlign w:val="bottom"/>
            <w:hideMark/>
          </w:tcPr>
          <w:p w14:paraId="43BECBF0" w14:textId="77777777" w:rsidR="00580C15" w:rsidRPr="008E5EA9" w:rsidRDefault="00580C15">
            <w:pPr>
              <w:rPr>
                <w:color w:val="000000" w:themeColor="text1"/>
                <w:lang w:eastAsia="fr-CA"/>
              </w:rPr>
            </w:pPr>
            <w:r w:rsidRPr="008E5EA9">
              <w:rPr>
                <w:color w:val="000000" w:themeColor="text1"/>
                <w:lang w:eastAsia="fr-CA"/>
              </w:rPr>
              <w:t>Mois</w:t>
            </w:r>
          </w:p>
        </w:tc>
        <w:tc>
          <w:tcPr>
            <w:tcW w:w="1200" w:type="dxa"/>
            <w:tcBorders>
              <w:top w:val="nil"/>
              <w:left w:val="nil"/>
              <w:bottom w:val="single" w:sz="8" w:space="0" w:color="auto"/>
              <w:right w:val="nil"/>
            </w:tcBorders>
            <w:noWrap/>
            <w:tcMar>
              <w:top w:w="0" w:type="dxa"/>
              <w:left w:w="70" w:type="dxa"/>
              <w:bottom w:w="0" w:type="dxa"/>
              <w:right w:w="70" w:type="dxa"/>
            </w:tcMar>
            <w:vAlign w:val="bottom"/>
            <w:hideMark/>
          </w:tcPr>
          <w:p w14:paraId="09A2834B" w14:textId="77777777" w:rsidR="00580C15" w:rsidRPr="008E5EA9" w:rsidRDefault="00580C15">
            <w:pPr>
              <w:jc w:val="center"/>
              <w:rPr>
                <w:color w:val="000000" w:themeColor="text1"/>
                <w:lang w:eastAsia="fr-CA"/>
              </w:rPr>
            </w:pPr>
            <w:r w:rsidRPr="008E5EA9">
              <w:rPr>
                <w:color w:val="000000" w:themeColor="text1"/>
                <w:lang w:eastAsia="fr-CA"/>
              </w:rPr>
              <w:t>2020-2021</w:t>
            </w:r>
          </w:p>
        </w:tc>
        <w:tc>
          <w:tcPr>
            <w:tcW w:w="1200" w:type="dxa"/>
            <w:tcBorders>
              <w:top w:val="nil"/>
              <w:left w:val="nil"/>
              <w:bottom w:val="single" w:sz="8" w:space="0" w:color="auto"/>
              <w:right w:val="nil"/>
            </w:tcBorders>
            <w:noWrap/>
            <w:tcMar>
              <w:top w:w="0" w:type="dxa"/>
              <w:left w:w="70" w:type="dxa"/>
              <w:bottom w:w="0" w:type="dxa"/>
              <w:right w:w="70" w:type="dxa"/>
            </w:tcMar>
            <w:vAlign w:val="bottom"/>
            <w:hideMark/>
          </w:tcPr>
          <w:p w14:paraId="3A938433" w14:textId="77777777" w:rsidR="00580C15" w:rsidRPr="008E5EA9" w:rsidRDefault="00580C15">
            <w:pPr>
              <w:jc w:val="center"/>
              <w:rPr>
                <w:color w:val="000000" w:themeColor="text1"/>
                <w:lang w:eastAsia="fr-CA"/>
              </w:rPr>
            </w:pPr>
            <w:r w:rsidRPr="008E5EA9">
              <w:rPr>
                <w:color w:val="000000" w:themeColor="text1"/>
                <w:lang w:eastAsia="fr-CA"/>
              </w:rPr>
              <w:t>2021-2022</w:t>
            </w:r>
          </w:p>
        </w:tc>
      </w:tr>
      <w:tr w:rsidR="008E5EA9" w:rsidRPr="008E5EA9" w14:paraId="5D942EAC" w14:textId="77777777" w:rsidTr="00580C15">
        <w:trPr>
          <w:trHeight w:val="300"/>
        </w:trPr>
        <w:tc>
          <w:tcPr>
            <w:tcW w:w="1200" w:type="dxa"/>
            <w:noWrap/>
            <w:tcMar>
              <w:top w:w="0" w:type="dxa"/>
              <w:left w:w="70" w:type="dxa"/>
              <w:bottom w:w="0" w:type="dxa"/>
              <w:right w:w="70" w:type="dxa"/>
            </w:tcMar>
            <w:vAlign w:val="bottom"/>
            <w:hideMark/>
          </w:tcPr>
          <w:p w14:paraId="5FF74144" w14:textId="77777777" w:rsidR="00580C15" w:rsidRPr="008E5EA9" w:rsidRDefault="00580C15">
            <w:pPr>
              <w:rPr>
                <w:color w:val="000000" w:themeColor="text1"/>
                <w:lang w:eastAsia="fr-CA"/>
              </w:rPr>
            </w:pPr>
            <w:r w:rsidRPr="008E5EA9">
              <w:rPr>
                <w:color w:val="000000" w:themeColor="text1"/>
                <w:lang w:eastAsia="fr-CA"/>
              </w:rPr>
              <w:t>Avril</w:t>
            </w:r>
          </w:p>
        </w:tc>
        <w:tc>
          <w:tcPr>
            <w:tcW w:w="1200" w:type="dxa"/>
            <w:noWrap/>
            <w:tcMar>
              <w:top w:w="0" w:type="dxa"/>
              <w:left w:w="70" w:type="dxa"/>
              <w:bottom w:w="0" w:type="dxa"/>
              <w:right w:w="70" w:type="dxa"/>
            </w:tcMar>
            <w:vAlign w:val="bottom"/>
            <w:hideMark/>
          </w:tcPr>
          <w:p w14:paraId="2B8FB0AF" w14:textId="77777777" w:rsidR="00580C15" w:rsidRPr="008E5EA9" w:rsidRDefault="00580C15">
            <w:pPr>
              <w:jc w:val="center"/>
              <w:rPr>
                <w:color w:val="000000" w:themeColor="text1"/>
                <w:lang w:eastAsia="fr-CA"/>
              </w:rPr>
            </w:pPr>
            <w:r w:rsidRPr="008E5EA9">
              <w:rPr>
                <w:color w:val="000000" w:themeColor="text1"/>
                <w:lang w:eastAsia="fr-CA"/>
              </w:rPr>
              <w:t>500</w:t>
            </w:r>
          </w:p>
        </w:tc>
        <w:tc>
          <w:tcPr>
            <w:tcW w:w="1200" w:type="dxa"/>
            <w:noWrap/>
            <w:tcMar>
              <w:top w:w="0" w:type="dxa"/>
              <w:left w:w="70" w:type="dxa"/>
              <w:bottom w:w="0" w:type="dxa"/>
              <w:right w:w="70" w:type="dxa"/>
            </w:tcMar>
            <w:vAlign w:val="bottom"/>
            <w:hideMark/>
          </w:tcPr>
          <w:p w14:paraId="427A0164" w14:textId="77777777" w:rsidR="00580C15" w:rsidRPr="008E5EA9" w:rsidRDefault="00580C15">
            <w:pPr>
              <w:jc w:val="center"/>
              <w:rPr>
                <w:color w:val="000000" w:themeColor="text1"/>
                <w:lang w:eastAsia="fr-CA"/>
              </w:rPr>
            </w:pPr>
            <w:r w:rsidRPr="008E5EA9">
              <w:rPr>
                <w:color w:val="000000" w:themeColor="text1"/>
                <w:lang w:eastAsia="fr-CA"/>
              </w:rPr>
              <w:t>364</w:t>
            </w:r>
          </w:p>
        </w:tc>
      </w:tr>
      <w:tr w:rsidR="008E5EA9" w:rsidRPr="008E5EA9" w14:paraId="1C15E7AB" w14:textId="77777777" w:rsidTr="00580C15">
        <w:trPr>
          <w:trHeight w:val="300"/>
        </w:trPr>
        <w:tc>
          <w:tcPr>
            <w:tcW w:w="1200" w:type="dxa"/>
            <w:noWrap/>
            <w:tcMar>
              <w:top w:w="0" w:type="dxa"/>
              <w:left w:w="70" w:type="dxa"/>
              <w:bottom w:w="0" w:type="dxa"/>
              <w:right w:w="70" w:type="dxa"/>
            </w:tcMar>
            <w:vAlign w:val="bottom"/>
            <w:hideMark/>
          </w:tcPr>
          <w:p w14:paraId="18CF520E" w14:textId="77777777" w:rsidR="00580C15" w:rsidRPr="008E5EA9" w:rsidRDefault="00580C15">
            <w:pPr>
              <w:rPr>
                <w:color w:val="000000" w:themeColor="text1"/>
                <w:lang w:eastAsia="fr-CA"/>
              </w:rPr>
            </w:pPr>
            <w:r w:rsidRPr="008E5EA9">
              <w:rPr>
                <w:color w:val="000000" w:themeColor="text1"/>
                <w:lang w:eastAsia="fr-CA"/>
              </w:rPr>
              <w:t>Mai</w:t>
            </w:r>
          </w:p>
        </w:tc>
        <w:tc>
          <w:tcPr>
            <w:tcW w:w="1200" w:type="dxa"/>
            <w:noWrap/>
            <w:tcMar>
              <w:top w:w="0" w:type="dxa"/>
              <w:left w:w="70" w:type="dxa"/>
              <w:bottom w:w="0" w:type="dxa"/>
              <w:right w:w="70" w:type="dxa"/>
            </w:tcMar>
            <w:vAlign w:val="bottom"/>
            <w:hideMark/>
          </w:tcPr>
          <w:p w14:paraId="648BA732" w14:textId="77777777" w:rsidR="00580C15" w:rsidRPr="008E5EA9" w:rsidRDefault="00580C15">
            <w:pPr>
              <w:jc w:val="center"/>
              <w:rPr>
                <w:color w:val="000000" w:themeColor="text1"/>
                <w:lang w:eastAsia="fr-CA"/>
              </w:rPr>
            </w:pPr>
            <w:r w:rsidRPr="008E5EA9">
              <w:rPr>
                <w:color w:val="000000" w:themeColor="text1"/>
                <w:lang w:eastAsia="fr-CA"/>
              </w:rPr>
              <w:t>730</w:t>
            </w:r>
          </w:p>
        </w:tc>
        <w:tc>
          <w:tcPr>
            <w:tcW w:w="1200" w:type="dxa"/>
            <w:noWrap/>
            <w:tcMar>
              <w:top w:w="0" w:type="dxa"/>
              <w:left w:w="70" w:type="dxa"/>
              <w:bottom w:w="0" w:type="dxa"/>
              <w:right w:w="70" w:type="dxa"/>
            </w:tcMar>
            <w:vAlign w:val="bottom"/>
            <w:hideMark/>
          </w:tcPr>
          <w:p w14:paraId="5C9A0746" w14:textId="77777777" w:rsidR="00580C15" w:rsidRPr="008E5EA9" w:rsidRDefault="00580C15">
            <w:pPr>
              <w:jc w:val="center"/>
              <w:rPr>
                <w:color w:val="000000" w:themeColor="text1"/>
                <w:lang w:eastAsia="fr-CA"/>
              </w:rPr>
            </w:pPr>
            <w:r w:rsidRPr="008E5EA9">
              <w:rPr>
                <w:color w:val="000000" w:themeColor="text1"/>
                <w:lang w:eastAsia="fr-CA"/>
              </w:rPr>
              <w:t>475</w:t>
            </w:r>
          </w:p>
        </w:tc>
      </w:tr>
      <w:tr w:rsidR="008E5EA9" w:rsidRPr="008E5EA9" w14:paraId="1C985E9A" w14:textId="77777777" w:rsidTr="00580C15">
        <w:trPr>
          <w:trHeight w:val="300"/>
        </w:trPr>
        <w:tc>
          <w:tcPr>
            <w:tcW w:w="1200" w:type="dxa"/>
            <w:noWrap/>
            <w:tcMar>
              <w:top w:w="0" w:type="dxa"/>
              <w:left w:w="70" w:type="dxa"/>
              <w:bottom w:w="0" w:type="dxa"/>
              <w:right w:w="70" w:type="dxa"/>
            </w:tcMar>
            <w:vAlign w:val="bottom"/>
            <w:hideMark/>
          </w:tcPr>
          <w:p w14:paraId="0F65396E" w14:textId="77777777" w:rsidR="00580C15" w:rsidRPr="008E5EA9" w:rsidRDefault="00580C15">
            <w:pPr>
              <w:rPr>
                <w:color w:val="000000" w:themeColor="text1"/>
                <w:lang w:eastAsia="fr-CA"/>
              </w:rPr>
            </w:pPr>
            <w:r w:rsidRPr="008E5EA9">
              <w:rPr>
                <w:color w:val="000000" w:themeColor="text1"/>
                <w:lang w:eastAsia="fr-CA"/>
              </w:rPr>
              <w:t>Juin</w:t>
            </w:r>
          </w:p>
        </w:tc>
        <w:tc>
          <w:tcPr>
            <w:tcW w:w="1200" w:type="dxa"/>
            <w:noWrap/>
            <w:tcMar>
              <w:top w:w="0" w:type="dxa"/>
              <w:left w:w="70" w:type="dxa"/>
              <w:bottom w:w="0" w:type="dxa"/>
              <w:right w:w="70" w:type="dxa"/>
            </w:tcMar>
            <w:vAlign w:val="bottom"/>
            <w:hideMark/>
          </w:tcPr>
          <w:p w14:paraId="3958EE2E" w14:textId="77777777" w:rsidR="00580C15" w:rsidRPr="008E5EA9" w:rsidRDefault="00580C15">
            <w:pPr>
              <w:jc w:val="center"/>
              <w:rPr>
                <w:color w:val="000000" w:themeColor="text1"/>
                <w:lang w:eastAsia="fr-CA"/>
              </w:rPr>
            </w:pPr>
            <w:r w:rsidRPr="008E5EA9">
              <w:rPr>
                <w:color w:val="000000" w:themeColor="text1"/>
                <w:lang w:eastAsia="fr-CA"/>
              </w:rPr>
              <w:t>1 550</w:t>
            </w:r>
          </w:p>
        </w:tc>
        <w:tc>
          <w:tcPr>
            <w:tcW w:w="1200" w:type="dxa"/>
            <w:noWrap/>
            <w:tcMar>
              <w:top w:w="0" w:type="dxa"/>
              <w:left w:w="70" w:type="dxa"/>
              <w:bottom w:w="0" w:type="dxa"/>
              <w:right w:w="70" w:type="dxa"/>
            </w:tcMar>
            <w:vAlign w:val="bottom"/>
            <w:hideMark/>
          </w:tcPr>
          <w:p w14:paraId="23B61D8D" w14:textId="77777777" w:rsidR="00580C15" w:rsidRPr="008E5EA9" w:rsidRDefault="00580C15">
            <w:pPr>
              <w:jc w:val="center"/>
              <w:rPr>
                <w:color w:val="000000" w:themeColor="text1"/>
                <w:lang w:eastAsia="fr-CA"/>
              </w:rPr>
            </w:pPr>
            <w:r w:rsidRPr="008E5EA9">
              <w:rPr>
                <w:color w:val="000000" w:themeColor="text1"/>
                <w:lang w:eastAsia="fr-CA"/>
              </w:rPr>
              <w:t>617</w:t>
            </w:r>
          </w:p>
        </w:tc>
      </w:tr>
      <w:tr w:rsidR="008E5EA9" w:rsidRPr="008E5EA9" w14:paraId="6DD5EB43" w14:textId="77777777" w:rsidTr="00580C15">
        <w:trPr>
          <w:trHeight w:val="300"/>
        </w:trPr>
        <w:tc>
          <w:tcPr>
            <w:tcW w:w="1200" w:type="dxa"/>
            <w:noWrap/>
            <w:tcMar>
              <w:top w:w="0" w:type="dxa"/>
              <w:left w:w="70" w:type="dxa"/>
              <w:bottom w:w="0" w:type="dxa"/>
              <w:right w:w="70" w:type="dxa"/>
            </w:tcMar>
            <w:vAlign w:val="bottom"/>
            <w:hideMark/>
          </w:tcPr>
          <w:p w14:paraId="1C71EC26" w14:textId="77777777" w:rsidR="00580C15" w:rsidRPr="008E5EA9" w:rsidRDefault="00580C15">
            <w:pPr>
              <w:rPr>
                <w:color w:val="000000" w:themeColor="text1"/>
                <w:lang w:eastAsia="fr-CA"/>
              </w:rPr>
            </w:pPr>
            <w:r w:rsidRPr="008E5EA9">
              <w:rPr>
                <w:color w:val="000000" w:themeColor="text1"/>
                <w:lang w:eastAsia="fr-CA"/>
              </w:rPr>
              <w:t>Juillet</w:t>
            </w:r>
          </w:p>
        </w:tc>
        <w:tc>
          <w:tcPr>
            <w:tcW w:w="1200" w:type="dxa"/>
            <w:noWrap/>
            <w:tcMar>
              <w:top w:w="0" w:type="dxa"/>
              <w:left w:w="70" w:type="dxa"/>
              <w:bottom w:w="0" w:type="dxa"/>
              <w:right w:w="70" w:type="dxa"/>
            </w:tcMar>
            <w:vAlign w:val="bottom"/>
            <w:hideMark/>
          </w:tcPr>
          <w:p w14:paraId="597D3C1B" w14:textId="77777777" w:rsidR="00580C15" w:rsidRPr="008E5EA9" w:rsidRDefault="00580C15">
            <w:pPr>
              <w:jc w:val="center"/>
              <w:rPr>
                <w:color w:val="000000" w:themeColor="text1"/>
                <w:lang w:eastAsia="fr-CA"/>
              </w:rPr>
            </w:pPr>
            <w:r w:rsidRPr="008E5EA9">
              <w:rPr>
                <w:color w:val="000000" w:themeColor="text1"/>
                <w:lang w:eastAsia="fr-CA"/>
              </w:rPr>
              <w:t>556</w:t>
            </w:r>
          </w:p>
        </w:tc>
        <w:tc>
          <w:tcPr>
            <w:tcW w:w="1200" w:type="dxa"/>
            <w:noWrap/>
            <w:tcMar>
              <w:top w:w="0" w:type="dxa"/>
              <w:left w:w="70" w:type="dxa"/>
              <w:bottom w:w="0" w:type="dxa"/>
              <w:right w:w="70" w:type="dxa"/>
            </w:tcMar>
            <w:vAlign w:val="bottom"/>
            <w:hideMark/>
          </w:tcPr>
          <w:p w14:paraId="3477AA88" w14:textId="77777777" w:rsidR="00580C15" w:rsidRPr="008E5EA9" w:rsidRDefault="00580C15">
            <w:pPr>
              <w:jc w:val="center"/>
              <w:rPr>
                <w:color w:val="000000" w:themeColor="text1"/>
                <w:lang w:eastAsia="fr-CA"/>
              </w:rPr>
            </w:pPr>
            <w:r w:rsidRPr="008E5EA9">
              <w:rPr>
                <w:color w:val="000000" w:themeColor="text1"/>
                <w:lang w:eastAsia="fr-CA"/>
              </w:rPr>
              <w:t>717</w:t>
            </w:r>
          </w:p>
        </w:tc>
      </w:tr>
      <w:tr w:rsidR="008E5EA9" w:rsidRPr="008E5EA9" w14:paraId="3A0F535B" w14:textId="77777777" w:rsidTr="00580C15">
        <w:trPr>
          <w:trHeight w:val="300"/>
        </w:trPr>
        <w:tc>
          <w:tcPr>
            <w:tcW w:w="1200" w:type="dxa"/>
            <w:noWrap/>
            <w:tcMar>
              <w:top w:w="0" w:type="dxa"/>
              <w:left w:w="70" w:type="dxa"/>
              <w:bottom w:w="0" w:type="dxa"/>
              <w:right w:w="70" w:type="dxa"/>
            </w:tcMar>
            <w:vAlign w:val="bottom"/>
            <w:hideMark/>
          </w:tcPr>
          <w:p w14:paraId="42AF4A99" w14:textId="77777777" w:rsidR="00580C15" w:rsidRPr="008E5EA9" w:rsidRDefault="00580C15">
            <w:pPr>
              <w:rPr>
                <w:color w:val="000000" w:themeColor="text1"/>
                <w:lang w:eastAsia="fr-CA"/>
              </w:rPr>
            </w:pPr>
            <w:r w:rsidRPr="008E5EA9">
              <w:rPr>
                <w:color w:val="000000" w:themeColor="text1"/>
                <w:lang w:eastAsia="fr-CA"/>
              </w:rPr>
              <w:t>Août</w:t>
            </w:r>
          </w:p>
        </w:tc>
        <w:tc>
          <w:tcPr>
            <w:tcW w:w="1200" w:type="dxa"/>
            <w:noWrap/>
            <w:tcMar>
              <w:top w:w="0" w:type="dxa"/>
              <w:left w:w="70" w:type="dxa"/>
              <w:bottom w:w="0" w:type="dxa"/>
              <w:right w:w="70" w:type="dxa"/>
            </w:tcMar>
            <w:vAlign w:val="bottom"/>
            <w:hideMark/>
          </w:tcPr>
          <w:p w14:paraId="59CDA0BA" w14:textId="77777777" w:rsidR="00580C15" w:rsidRPr="008E5EA9" w:rsidRDefault="00580C15">
            <w:pPr>
              <w:jc w:val="center"/>
              <w:rPr>
                <w:color w:val="000000" w:themeColor="text1"/>
                <w:lang w:eastAsia="fr-CA"/>
              </w:rPr>
            </w:pPr>
            <w:r w:rsidRPr="008E5EA9">
              <w:rPr>
                <w:color w:val="000000" w:themeColor="text1"/>
                <w:lang w:eastAsia="fr-CA"/>
              </w:rPr>
              <w:t>454</w:t>
            </w:r>
          </w:p>
        </w:tc>
        <w:tc>
          <w:tcPr>
            <w:tcW w:w="1200" w:type="dxa"/>
            <w:noWrap/>
            <w:tcMar>
              <w:top w:w="0" w:type="dxa"/>
              <w:left w:w="70" w:type="dxa"/>
              <w:bottom w:w="0" w:type="dxa"/>
              <w:right w:w="70" w:type="dxa"/>
            </w:tcMar>
            <w:vAlign w:val="bottom"/>
            <w:hideMark/>
          </w:tcPr>
          <w:p w14:paraId="409BF4E9" w14:textId="77777777" w:rsidR="00580C15" w:rsidRPr="008E5EA9" w:rsidRDefault="00580C15">
            <w:pPr>
              <w:jc w:val="center"/>
              <w:rPr>
                <w:color w:val="000000" w:themeColor="text1"/>
                <w:lang w:eastAsia="fr-CA"/>
              </w:rPr>
            </w:pPr>
            <w:r w:rsidRPr="008E5EA9">
              <w:rPr>
                <w:color w:val="000000" w:themeColor="text1"/>
                <w:lang w:eastAsia="fr-CA"/>
              </w:rPr>
              <w:t>512</w:t>
            </w:r>
          </w:p>
        </w:tc>
      </w:tr>
      <w:tr w:rsidR="008E5EA9" w:rsidRPr="008E5EA9" w14:paraId="5A4821BF" w14:textId="77777777" w:rsidTr="00580C15">
        <w:trPr>
          <w:trHeight w:val="300"/>
        </w:trPr>
        <w:tc>
          <w:tcPr>
            <w:tcW w:w="1200" w:type="dxa"/>
            <w:noWrap/>
            <w:tcMar>
              <w:top w:w="0" w:type="dxa"/>
              <w:left w:w="70" w:type="dxa"/>
              <w:bottom w:w="0" w:type="dxa"/>
              <w:right w:w="70" w:type="dxa"/>
            </w:tcMar>
            <w:vAlign w:val="bottom"/>
            <w:hideMark/>
          </w:tcPr>
          <w:p w14:paraId="78FD932F" w14:textId="77777777" w:rsidR="00580C15" w:rsidRPr="008E5EA9" w:rsidRDefault="00580C15">
            <w:pPr>
              <w:rPr>
                <w:color w:val="000000" w:themeColor="text1"/>
                <w:lang w:eastAsia="fr-CA"/>
              </w:rPr>
            </w:pPr>
            <w:r w:rsidRPr="008E5EA9">
              <w:rPr>
                <w:color w:val="000000" w:themeColor="text1"/>
                <w:lang w:eastAsia="fr-CA"/>
              </w:rPr>
              <w:t>Septembre</w:t>
            </w:r>
          </w:p>
        </w:tc>
        <w:tc>
          <w:tcPr>
            <w:tcW w:w="1200" w:type="dxa"/>
            <w:noWrap/>
            <w:tcMar>
              <w:top w:w="0" w:type="dxa"/>
              <w:left w:w="70" w:type="dxa"/>
              <w:bottom w:w="0" w:type="dxa"/>
              <w:right w:w="70" w:type="dxa"/>
            </w:tcMar>
            <w:vAlign w:val="bottom"/>
            <w:hideMark/>
          </w:tcPr>
          <w:p w14:paraId="33047D11" w14:textId="77777777" w:rsidR="00580C15" w:rsidRPr="008E5EA9" w:rsidRDefault="00580C15">
            <w:pPr>
              <w:jc w:val="center"/>
              <w:rPr>
                <w:color w:val="000000" w:themeColor="text1"/>
                <w:lang w:eastAsia="fr-CA"/>
              </w:rPr>
            </w:pPr>
            <w:r w:rsidRPr="008E5EA9">
              <w:rPr>
                <w:color w:val="000000" w:themeColor="text1"/>
                <w:lang w:eastAsia="fr-CA"/>
              </w:rPr>
              <w:t>450</w:t>
            </w:r>
          </w:p>
        </w:tc>
        <w:tc>
          <w:tcPr>
            <w:tcW w:w="1200" w:type="dxa"/>
            <w:noWrap/>
            <w:tcMar>
              <w:top w:w="0" w:type="dxa"/>
              <w:left w:w="70" w:type="dxa"/>
              <w:bottom w:w="0" w:type="dxa"/>
              <w:right w:w="70" w:type="dxa"/>
            </w:tcMar>
            <w:vAlign w:val="bottom"/>
            <w:hideMark/>
          </w:tcPr>
          <w:p w14:paraId="4E3ECCEB" w14:textId="77777777" w:rsidR="00580C15" w:rsidRPr="008E5EA9" w:rsidRDefault="00580C15">
            <w:pPr>
              <w:jc w:val="center"/>
              <w:rPr>
                <w:color w:val="000000" w:themeColor="text1"/>
                <w:lang w:eastAsia="fr-CA"/>
              </w:rPr>
            </w:pPr>
            <w:r w:rsidRPr="008E5EA9">
              <w:rPr>
                <w:color w:val="000000" w:themeColor="text1"/>
                <w:lang w:eastAsia="fr-CA"/>
              </w:rPr>
              <w:t>558</w:t>
            </w:r>
          </w:p>
        </w:tc>
      </w:tr>
      <w:tr w:rsidR="008E5EA9" w:rsidRPr="008E5EA9" w14:paraId="3B113A54" w14:textId="77777777" w:rsidTr="00580C15">
        <w:trPr>
          <w:trHeight w:val="300"/>
        </w:trPr>
        <w:tc>
          <w:tcPr>
            <w:tcW w:w="1200" w:type="dxa"/>
            <w:noWrap/>
            <w:tcMar>
              <w:top w:w="0" w:type="dxa"/>
              <w:left w:w="70" w:type="dxa"/>
              <w:bottom w:w="0" w:type="dxa"/>
              <w:right w:w="70" w:type="dxa"/>
            </w:tcMar>
            <w:vAlign w:val="bottom"/>
            <w:hideMark/>
          </w:tcPr>
          <w:p w14:paraId="1C437614" w14:textId="77777777" w:rsidR="00580C15" w:rsidRPr="008E5EA9" w:rsidRDefault="00580C15">
            <w:pPr>
              <w:rPr>
                <w:color w:val="000000" w:themeColor="text1"/>
                <w:lang w:eastAsia="fr-CA"/>
              </w:rPr>
            </w:pPr>
            <w:r w:rsidRPr="008E5EA9">
              <w:rPr>
                <w:color w:val="000000" w:themeColor="text1"/>
                <w:lang w:eastAsia="fr-CA"/>
              </w:rPr>
              <w:t>Octobre</w:t>
            </w:r>
          </w:p>
        </w:tc>
        <w:tc>
          <w:tcPr>
            <w:tcW w:w="1200" w:type="dxa"/>
            <w:noWrap/>
            <w:tcMar>
              <w:top w:w="0" w:type="dxa"/>
              <w:left w:w="70" w:type="dxa"/>
              <w:bottom w:w="0" w:type="dxa"/>
              <w:right w:w="70" w:type="dxa"/>
            </w:tcMar>
            <w:vAlign w:val="bottom"/>
            <w:hideMark/>
          </w:tcPr>
          <w:p w14:paraId="6315A100" w14:textId="77777777" w:rsidR="00580C15" w:rsidRPr="008E5EA9" w:rsidRDefault="00580C15">
            <w:pPr>
              <w:jc w:val="center"/>
              <w:rPr>
                <w:color w:val="000000" w:themeColor="text1"/>
                <w:lang w:eastAsia="fr-CA"/>
              </w:rPr>
            </w:pPr>
            <w:r w:rsidRPr="008E5EA9">
              <w:rPr>
                <w:color w:val="000000" w:themeColor="text1"/>
                <w:lang w:eastAsia="fr-CA"/>
              </w:rPr>
              <w:t>406</w:t>
            </w:r>
          </w:p>
        </w:tc>
        <w:tc>
          <w:tcPr>
            <w:tcW w:w="1200" w:type="dxa"/>
            <w:noWrap/>
            <w:tcMar>
              <w:top w:w="0" w:type="dxa"/>
              <w:left w:w="70" w:type="dxa"/>
              <w:bottom w:w="0" w:type="dxa"/>
              <w:right w:w="70" w:type="dxa"/>
            </w:tcMar>
            <w:vAlign w:val="bottom"/>
            <w:hideMark/>
          </w:tcPr>
          <w:p w14:paraId="4FCE5EA2" w14:textId="77777777" w:rsidR="00580C15" w:rsidRPr="008E5EA9" w:rsidRDefault="00580C15">
            <w:pPr>
              <w:jc w:val="center"/>
              <w:rPr>
                <w:color w:val="000000" w:themeColor="text1"/>
                <w:lang w:eastAsia="fr-CA"/>
              </w:rPr>
            </w:pPr>
            <w:r w:rsidRPr="008E5EA9">
              <w:rPr>
                <w:color w:val="000000" w:themeColor="text1"/>
                <w:lang w:eastAsia="fr-CA"/>
              </w:rPr>
              <w:t>537</w:t>
            </w:r>
          </w:p>
        </w:tc>
      </w:tr>
      <w:tr w:rsidR="008E5EA9" w:rsidRPr="008E5EA9" w14:paraId="4DD56C51" w14:textId="77777777" w:rsidTr="00580C15">
        <w:trPr>
          <w:trHeight w:val="300"/>
        </w:trPr>
        <w:tc>
          <w:tcPr>
            <w:tcW w:w="1200" w:type="dxa"/>
            <w:noWrap/>
            <w:tcMar>
              <w:top w:w="0" w:type="dxa"/>
              <w:left w:w="70" w:type="dxa"/>
              <w:bottom w:w="0" w:type="dxa"/>
              <w:right w:w="70" w:type="dxa"/>
            </w:tcMar>
            <w:vAlign w:val="bottom"/>
            <w:hideMark/>
          </w:tcPr>
          <w:p w14:paraId="1EF77B50" w14:textId="77777777" w:rsidR="00580C15" w:rsidRPr="008E5EA9" w:rsidRDefault="00580C15">
            <w:pPr>
              <w:rPr>
                <w:color w:val="000000" w:themeColor="text1"/>
                <w:lang w:eastAsia="fr-CA"/>
              </w:rPr>
            </w:pPr>
            <w:r w:rsidRPr="008E5EA9">
              <w:rPr>
                <w:color w:val="000000" w:themeColor="text1"/>
                <w:lang w:eastAsia="fr-CA"/>
              </w:rPr>
              <w:t>Novembre</w:t>
            </w:r>
          </w:p>
        </w:tc>
        <w:tc>
          <w:tcPr>
            <w:tcW w:w="1200" w:type="dxa"/>
            <w:noWrap/>
            <w:tcMar>
              <w:top w:w="0" w:type="dxa"/>
              <w:left w:w="70" w:type="dxa"/>
              <w:bottom w:w="0" w:type="dxa"/>
              <w:right w:w="70" w:type="dxa"/>
            </w:tcMar>
            <w:vAlign w:val="bottom"/>
            <w:hideMark/>
          </w:tcPr>
          <w:p w14:paraId="17427AE4" w14:textId="77777777" w:rsidR="00580C15" w:rsidRPr="008E5EA9" w:rsidRDefault="00580C15">
            <w:pPr>
              <w:jc w:val="center"/>
              <w:rPr>
                <w:color w:val="000000" w:themeColor="text1"/>
                <w:lang w:eastAsia="fr-CA"/>
              </w:rPr>
            </w:pPr>
            <w:r w:rsidRPr="008E5EA9">
              <w:rPr>
                <w:color w:val="000000" w:themeColor="text1"/>
                <w:lang w:eastAsia="fr-CA"/>
              </w:rPr>
              <w:t>363</w:t>
            </w:r>
          </w:p>
        </w:tc>
        <w:tc>
          <w:tcPr>
            <w:tcW w:w="1200" w:type="dxa"/>
            <w:noWrap/>
            <w:tcMar>
              <w:top w:w="0" w:type="dxa"/>
              <w:left w:w="70" w:type="dxa"/>
              <w:bottom w:w="0" w:type="dxa"/>
              <w:right w:w="70" w:type="dxa"/>
            </w:tcMar>
            <w:vAlign w:val="bottom"/>
            <w:hideMark/>
          </w:tcPr>
          <w:p w14:paraId="6C713399" w14:textId="77777777" w:rsidR="00580C15" w:rsidRPr="008E5EA9" w:rsidRDefault="00580C15">
            <w:pPr>
              <w:jc w:val="center"/>
              <w:rPr>
                <w:color w:val="000000" w:themeColor="text1"/>
                <w:lang w:eastAsia="fr-CA"/>
              </w:rPr>
            </w:pPr>
            <w:r w:rsidRPr="008E5EA9">
              <w:rPr>
                <w:color w:val="000000" w:themeColor="text1"/>
                <w:lang w:eastAsia="fr-CA"/>
              </w:rPr>
              <w:t>368</w:t>
            </w:r>
          </w:p>
        </w:tc>
      </w:tr>
      <w:tr w:rsidR="008E5EA9" w:rsidRPr="008E5EA9" w14:paraId="7CCF1593" w14:textId="77777777" w:rsidTr="00580C15">
        <w:trPr>
          <w:trHeight w:val="300"/>
        </w:trPr>
        <w:tc>
          <w:tcPr>
            <w:tcW w:w="1200" w:type="dxa"/>
            <w:noWrap/>
            <w:tcMar>
              <w:top w:w="0" w:type="dxa"/>
              <w:left w:w="70" w:type="dxa"/>
              <w:bottom w:w="0" w:type="dxa"/>
              <w:right w:w="70" w:type="dxa"/>
            </w:tcMar>
            <w:vAlign w:val="bottom"/>
            <w:hideMark/>
          </w:tcPr>
          <w:p w14:paraId="0FA94375" w14:textId="77777777" w:rsidR="00580C15" w:rsidRPr="008E5EA9" w:rsidRDefault="00580C15">
            <w:pPr>
              <w:rPr>
                <w:color w:val="000000" w:themeColor="text1"/>
                <w:lang w:eastAsia="fr-CA"/>
              </w:rPr>
            </w:pPr>
            <w:r w:rsidRPr="008E5EA9">
              <w:rPr>
                <w:color w:val="000000" w:themeColor="text1"/>
                <w:lang w:eastAsia="fr-CA"/>
              </w:rPr>
              <w:t>Décembre</w:t>
            </w:r>
          </w:p>
        </w:tc>
        <w:tc>
          <w:tcPr>
            <w:tcW w:w="1200" w:type="dxa"/>
            <w:noWrap/>
            <w:tcMar>
              <w:top w:w="0" w:type="dxa"/>
              <w:left w:w="70" w:type="dxa"/>
              <w:bottom w:w="0" w:type="dxa"/>
              <w:right w:w="70" w:type="dxa"/>
            </w:tcMar>
            <w:vAlign w:val="bottom"/>
            <w:hideMark/>
          </w:tcPr>
          <w:p w14:paraId="6B8DA5C9" w14:textId="77777777" w:rsidR="00580C15" w:rsidRPr="008E5EA9" w:rsidRDefault="00580C15">
            <w:pPr>
              <w:jc w:val="center"/>
              <w:rPr>
                <w:color w:val="000000" w:themeColor="text1"/>
                <w:lang w:eastAsia="fr-CA"/>
              </w:rPr>
            </w:pPr>
            <w:r w:rsidRPr="008E5EA9">
              <w:rPr>
                <w:color w:val="000000" w:themeColor="text1"/>
                <w:lang w:eastAsia="fr-CA"/>
              </w:rPr>
              <w:t>515</w:t>
            </w:r>
          </w:p>
        </w:tc>
        <w:tc>
          <w:tcPr>
            <w:tcW w:w="1200" w:type="dxa"/>
            <w:noWrap/>
            <w:tcMar>
              <w:top w:w="0" w:type="dxa"/>
              <w:left w:w="70" w:type="dxa"/>
              <w:bottom w:w="0" w:type="dxa"/>
              <w:right w:w="70" w:type="dxa"/>
            </w:tcMar>
            <w:vAlign w:val="bottom"/>
            <w:hideMark/>
          </w:tcPr>
          <w:p w14:paraId="341DF865" w14:textId="77777777" w:rsidR="00580C15" w:rsidRPr="008E5EA9" w:rsidRDefault="00580C15">
            <w:pPr>
              <w:jc w:val="center"/>
              <w:rPr>
                <w:color w:val="000000" w:themeColor="text1"/>
                <w:lang w:eastAsia="fr-CA"/>
              </w:rPr>
            </w:pPr>
            <w:r w:rsidRPr="008E5EA9">
              <w:rPr>
                <w:color w:val="000000" w:themeColor="text1"/>
                <w:lang w:eastAsia="fr-CA"/>
              </w:rPr>
              <w:t>966</w:t>
            </w:r>
          </w:p>
        </w:tc>
      </w:tr>
      <w:tr w:rsidR="008E5EA9" w:rsidRPr="008E5EA9" w14:paraId="487290E5" w14:textId="77777777" w:rsidTr="00580C15">
        <w:trPr>
          <w:trHeight w:val="300"/>
        </w:trPr>
        <w:tc>
          <w:tcPr>
            <w:tcW w:w="1200" w:type="dxa"/>
            <w:noWrap/>
            <w:tcMar>
              <w:top w:w="0" w:type="dxa"/>
              <w:left w:w="70" w:type="dxa"/>
              <w:bottom w:w="0" w:type="dxa"/>
              <w:right w:w="70" w:type="dxa"/>
            </w:tcMar>
            <w:vAlign w:val="bottom"/>
            <w:hideMark/>
          </w:tcPr>
          <w:p w14:paraId="2F7BB545" w14:textId="77777777" w:rsidR="00580C15" w:rsidRPr="008E5EA9" w:rsidRDefault="00580C15">
            <w:pPr>
              <w:rPr>
                <w:color w:val="000000" w:themeColor="text1"/>
                <w:lang w:eastAsia="fr-CA"/>
              </w:rPr>
            </w:pPr>
            <w:r w:rsidRPr="008E5EA9">
              <w:rPr>
                <w:color w:val="000000" w:themeColor="text1"/>
                <w:lang w:eastAsia="fr-CA"/>
              </w:rPr>
              <w:t>Janvier</w:t>
            </w:r>
          </w:p>
        </w:tc>
        <w:tc>
          <w:tcPr>
            <w:tcW w:w="1200" w:type="dxa"/>
            <w:noWrap/>
            <w:tcMar>
              <w:top w:w="0" w:type="dxa"/>
              <w:left w:w="70" w:type="dxa"/>
              <w:bottom w:w="0" w:type="dxa"/>
              <w:right w:w="70" w:type="dxa"/>
            </w:tcMar>
            <w:vAlign w:val="bottom"/>
            <w:hideMark/>
          </w:tcPr>
          <w:p w14:paraId="37E5DE20" w14:textId="77777777" w:rsidR="00580C15" w:rsidRPr="008E5EA9" w:rsidRDefault="00580C15">
            <w:pPr>
              <w:jc w:val="center"/>
              <w:rPr>
                <w:color w:val="000000" w:themeColor="text1"/>
                <w:lang w:eastAsia="fr-CA"/>
              </w:rPr>
            </w:pPr>
            <w:r w:rsidRPr="008E5EA9">
              <w:rPr>
                <w:color w:val="000000" w:themeColor="text1"/>
                <w:lang w:eastAsia="fr-CA"/>
              </w:rPr>
              <w:t>608</w:t>
            </w:r>
          </w:p>
        </w:tc>
        <w:tc>
          <w:tcPr>
            <w:tcW w:w="1200" w:type="dxa"/>
            <w:noWrap/>
            <w:tcMar>
              <w:top w:w="0" w:type="dxa"/>
              <w:left w:w="70" w:type="dxa"/>
              <w:bottom w:w="0" w:type="dxa"/>
              <w:right w:w="70" w:type="dxa"/>
            </w:tcMar>
            <w:vAlign w:val="bottom"/>
            <w:hideMark/>
          </w:tcPr>
          <w:p w14:paraId="08874519" w14:textId="77777777" w:rsidR="00580C15" w:rsidRPr="008E5EA9" w:rsidRDefault="00580C15">
            <w:pPr>
              <w:jc w:val="center"/>
              <w:rPr>
                <w:color w:val="000000" w:themeColor="text1"/>
                <w:lang w:eastAsia="fr-CA"/>
              </w:rPr>
            </w:pPr>
            <w:r w:rsidRPr="008E5EA9">
              <w:rPr>
                <w:color w:val="000000" w:themeColor="text1"/>
                <w:lang w:eastAsia="fr-CA"/>
              </w:rPr>
              <w:t>721</w:t>
            </w:r>
          </w:p>
        </w:tc>
      </w:tr>
      <w:tr w:rsidR="008E5EA9" w:rsidRPr="008E5EA9" w14:paraId="15F8DF00" w14:textId="77777777" w:rsidTr="00580C15">
        <w:trPr>
          <w:trHeight w:val="300"/>
        </w:trPr>
        <w:tc>
          <w:tcPr>
            <w:tcW w:w="1200" w:type="dxa"/>
            <w:noWrap/>
            <w:tcMar>
              <w:top w:w="0" w:type="dxa"/>
              <w:left w:w="70" w:type="dxa"/>
              <w:bottom w:w="0" w:type="dxa"/>
              <w:right w:w="70" w:type="dxa"/>
            </w:tcMar>
            <w:vAlign w:val="bottom"/>
            <w:hideMark/>
          </w:tcPr>
          <w:p w14:paraId="6E2D7F99" w14:textId="77777777" w:rsidR="00580C15" w:rsidRPr="008E5EA9" w:rsidRDefault="00580C15">
            <w:pPr>
              <w:rPr>
                <w:color w:val="000000" w:themeColor="text1"/>
                <w:lang w:eastAsia="fr-CA"/>
              </w:rPr>
            </w:pPr>
            <w:r w:rsidRPr="008E5EA9">
              <w:rPr>
                <w:color w:val="000000" w:themeColor="text1"/>
                <w:lang w:eastAsia="fr-CA"/>
              </w:rPr>
              <w:t>Février</w:t>
            </w:r>
          </w:p>
        </w:tc>
        <w:tc>
          <w:tcPr>
            <w:tcW w:w="1200" w:type="dxa"/>
            <w:noWrap/>
            <w:tcMar>
              <w:top w:w="0" w:type="dxa"/>
              <w:left w:w="70" w:type="dxa"/>
              <w:bottom w:w="0" w:type="dxa"/>
              <w:right w:w="70" w:type="dxa"/>
            </w:tcMar>
            <w:vAlign w:val="bottom"/>
            <w:hideMark/>
          </w:tcPr>
          <w:p w14:paraId="62850BB0" w14:textId="77777777" w:rsidR="00580C15" w:rsidRPr="008E5EA9" w:rsidRDefault="00580C15">
            <w:pPr>
              <w:jc w:val="center"/>
              <w:rPr>
                <w:color w:val="000000" w:themeColor="text1"/>
                <w:lang w:eastAsia="fr-CA"/>
              </w:rPr>
            </w:pPr>
            <w:r w:rsidRPr="008E5EA9">
              <w:rPr>
                <w:color w:val="000000" w:themeColor="text1"/>
                <w:lang w:eastAsia="fr-CA"/>
              </w:rPr>
              <w:t>329</w:t>
            </w:r>
          </w:p>
        </w:tc>
        <w:tc>
          <w:tcPr>
            <w:tcW w:w="1200" w:type="dxa"/>
            <w:noWrap/>
            <w:tcMar>
              <w:top w:w="0" w:type="dxa"/>
              <w:left w:w="70" w:type="dxa"/>
              <w:bottom w:w="0" w:type="dxa"/>
              <w:right w:w="70" w:type="dxa"/>
            </w:tcMar>
            <w:vAlign w:val="bottom"/>
            <w:hideMark/>
          </w:tcPr>
          <w:p w14:paraId="251E4990" w14:textId="77777777" w:rsidR="00580C15" w:rsidRPr="008E5EA9" w:rsidRDefault="00580C15">
            <w:pPr>
              <w:jc w:val="center"/>
              <w:rPr>
                <w:color w:val="000000" w:themeColor="text1"/>
                <w:lang w:eastAsia="fr-CA"/>
              </w:rPr>
            </w:pPr>
            <w:r w:rsidRPr="008E5EA9">
              <w:rPr>
                <w:color w:val="000000" w:themeColor="text1"/>
                <w:lang w:eastAsia="fr-CA"/>
              </w:rPr>
              <w:t>376</w:t>
            </w:r>
          </w:p>
        </w:tc>
      </w:tr>
      <w:tr w:rsidR="008E5EA9" w:rsidRPr="008E5EA9" w14:paraId="63C53447" w14:textId="77777777" w:rsidTr="008E5EA9">
        <w:trPr>
          <w:trHeight w:val="60"/>
        </w:trPr>
        <w:tc>
          <w:tcPr>
            <w:tcW w:w="1200" w:type="dxa"/>
            <w:noWrap/>
            <w:tcMar>
              <w:top w:w="0" w:type="dxa"/>
              <w:left w:w="70" w:type="dxa"/>
              <w:bottom w:w="0" w:type="dxa"/>
              <w:right w:w="70" w:type="dxa"/>
            </w:tcMar>
            <w:vAlign w:val="bottom"/>
            <w:hideMark/>
          </w:tcPr>
          <w:p w14:paraId="078FB3A2" w14:textId="77777777" w:rsidR="00580C15" w:rsidRPr="008E5EA9" w:rsidRDefault="00580C15">
            <w:pPr>
              <w:rPr>
                <w:color w:val="000000" w:themeColor="text1"/>
                <w:lang w:eastAsia="fr-CA"/>
              </w:rPr>
            </w:pPr>
            <w:r w:rsidRPr="008E5EA9">
              <w:rPr>
                <w:color w:val="000000" w:themeColor="text1"/>
                <w:lang w:eastAsia="fr-CA"/>
              </w:rPr>
              <w:t>Mars</w:t>
            </w:r>
          </w:p>
        </w:tc>
        <w:tc>
          <w:tcPr>
            <w:tcW w:w="1200" w:type="dxa"/>
            <w:noWrap/>
            <w:tcMar>
              <w:top w:w="0" w:type="dxa"/>
              <w:left w:w="70" w:type="dxa"/>
              <w:bottom w:w="0" w:type="dxa"/>
              <w:right w:w="70" w:type="dxa"/>
            </w:tcMar>
            <w:vAlign w:val="bottom"/>
            <w:hideMark/>
          </w:tcPr>
          <w:p w14:paraId="2EEAFCE8" w14:textId="77777777" w:rsidR="00580C15" w:rsidRPr="008E5EA9" w:rsidRDefault="00580C15">
            <w:pPr>
              <w:jc w:val="center"/>
              <w:rPr>
                <w:color w:val="000000" w:themeColor="text1"/>
                <w:lang w:eastAsia="fr-CA"/>
              </w:rPr>
            </w:pPr>
            <w:r w:rsidRPr="008E5EA9">
              <w:rPr>
                <w:color w:val="000000" w:themeColor="text1"/>
                <w:lang w:eastAsia="fr-CA"/>
              </w:rPr>
              <w:t>404</w:t>
            </w:r>
          </w:p>
        </w:tc>
        <w:tc>
          <w:tcPr>
            <w:tcW w:w="1200" w:type="dxa"/>
            <w:noWrap/>
            <w:tcMar>
              <w:top w:w="0" w:type="dxa"/>
              <w:left w:w="70" w:type="dxa"/>
              <w:bottom w:w="0" w:type="dxa"/>
              <w:right w:w="70" w:type="dxa"/>
            </w:tcMar>
            <w:vAlign w:val="bottom"/>
            <w:hideMark/>
          </w:tcPr>
          <w:p w14:paraId="07F52CD2" w14:textId="77777777" w:rsidR="00580C15" w:rsidRPr="008E5EA9" w:rsidRDefault="00580C15">
            <w:pPr>
              <w:jc w:val="center"/>
              <w:rPr>
                <w:color w:val="000000" w:themeColor="text1"/>
                <w:lang w:eastAsia="fr-CA"/>
              </w:rPr>
            </w:pPr>
            <w:r w:rsidRPr="008E5EA9">
              <w:rPr>
                <w:color w:val="000000" w:themeColor="text1"/>
                <w:lang w:eastAsia="fr-CA"/>
              </w:rPr>
              <w:t>375</w:t>
            </w:r>
          </w:p>
        </w:tc>
      </w:tr>
    </w:tbl>
    <w:p w14:paraId="1F736648" w14:textId="77777777" w:rsidR="00580C15" w:rsidRPr="008E5EA9" w:rsidRDefault="00580C15" w:rsidP="00580C15">
      <w:pPr>
        <w:autoSpaceDE w:val="0"/>
        <w:autoSpaceDN w:val="0"/>
        <w:ind w:left="708"/>
        <w:rPr>
          <w:color w:val="000000" w:themeColor="text1"/>
          <w:lang w:val="fr-FR"/>
        </w:rPr>
      </w:pPr>
    </w:p>
    <w:p w14:paraId="29278D82" w14:textId="77777777" w:rsidR="00580C15" w:rsidRDefault="00580C15" w:rsidP="00580C15">
      <w:pPr>
        <w:autoSpaceDE w:val="0"/>
        <w:autoSpaceDN w:val="0"/>
        <w:ind w:left="708"/>
        <w:rPr>
          <w:color w:val="0070C0"/>
        </w:rPr>
      </w:pPr>
    </w:p>
    <w:p w14:paraId="6D6C744A" w14:textId="77777777" w:rsidR="00580C15" w:rsidRPr="00580C15" w:rsidRDefault="00580C15" w:rsidP="00580C15">
      <w:pPr>
        <w:autoSpaceDE w:val="0"/>
        <w:autoSpaceDN w:val="0"/>
        <w:ind w:left="708"/>
        <w:rPr>
          <w:b/>
          <w:bCs/>
        </w:rPr>
      </w:pPr>
    </w:p>
    <w:p w14:paraId="74B62055" w14:textId="76D57B98" w:rsidR="00580C15" w:rsidRPr="00580C15" w:rsidRDefault="00580C15" w:rsidP="00E108B7">
      <w:pPr>
        <w:pStyle w:val="Paragraphedeliste"/>
        <w:numPr>
          <w:ilvl w:val="0"/>
          <w:numId w:val="5"/>
        </w:numPr>
        <w:autoSpaceDE w:val="0"/>
        <w:autoSpaceDN w:val="0"/>
        <w:jc w:val="both"/>
        <w:rPr>
          <w:b/>
          <w:bCs/>
        </w:rPr>
      </w:pPr>
      <w:r w:rsidRPr="00580C15">
        <w:rPr>
          <w:b/>
          <w:bCs/>
        </w:rPr>
        <w:t>Le nombre de travailleurs de la santé ayant quitté pour le réseau privé depuis mars 2020, ventilé par mois, par CISSS et CIUSSS ainsi que par catégorie d’emploi.</w:t>
      </w:r>
    </w:p>
    <w:p w14:paraId="40991B1C" w14:textId="77777777" w:rsidR="00580C15" w:rsidRPr="00E108B7" w:rsidRDefault="00580C15" w:rsidP="00580C15">
      <w:pPr>
        <w:autoSpaceDE w:val="0"/>
        <w:autoSpaceDN w:val="0"/>
        <w:rPr>
          <w:b/>
          <w:bCs/>
        </w:rPr>
      </w:pPr>
    </w:p>
    <w:p w14:paraId="0A035AFD" w14:textId="31BE274B" w:rsidR="00580C15" w:rsidRPr="00E108B7" w:rsidRDefault="00996E5B" w:rsidP="00580C15">
      <w:pPr>
        <w:autoSpaceDE w:val="0"/>
        <w:autoSpaceDN w:val="0"/>
      </w:pPr>
      <w:r w:rsidRPr="00E108B7">
        <w:t>Le MSSS ne détient pas ces informations.</w:t>
      </w:r>
    </w:p>
    <w:p w14:paraId="6A2CFDCB" w14:textId="77777777" w:rsidR="00580C15" w:rsidRDefault="00580C15" w:rsidP="00580C15">
      <w:pPr>
        <w:autoSpaceDE w:val="0"/>
        <w:autoSpaceDN w:val="0"/>
        <w:rPr>
          <w:color w:val="ED7D31"/>
        </w:rPr>
      </w:pPr>
    </w:p>
    <w:p w14:paraId="7A2B6E4A" w14:textId="6816E5C4" w:rsidR="00580C15" w:rsidRPr="00580C15" w:rsidRDefault="00580C15" w:rsidP="00E108B7">
      <w:pPr>
        <w:pStyle w:val="Paragraphedeliste"/>
        <w:numPr>
          <w:ilvl w:val="0"/>
          <w:numId w:val="5"/>
        </w:numPr>
        <w:autoSpaceDE w:val="0"/>
        <w:autoSpaceDN w:val="0"/>
        <w:jc w:val="both"/>
        <w:rPr>
          <w:b/>
          <w:bCs/>
        </w:rPr>
      </w:pPr>
      <w:r w:rsidRPr="00580C15">
        <w:rPr>
          <w:b/>
          <w:bCs/>
        </w:rPr>
        <w:t>Le plan d’embauche de</w:t>
      </w:r>
      <w:r w:rsidR="00E108B7">
        <w:rPr>
          <w:b/>
          <w:bCs/>
        </w:rPr>
        <w:t>s</w:t>
      </w:r>
      <w:r w:rsidRPr="00580C15">
        <w:rPr>
          <w:b/>
          <w:bCs/>
        </w:rPr>
        <w:t xml:space="preserve"> travailleurs de la santé pour les 5 prochaines années, toute catégorie d’emploi confondu.</w:t>
      </w:r>
    </w:p>
    <w:p w14:paraId="6F331939" w14:textId="77777777" w:rsidR="00580C15" w:rsidRDefault="00580C15" w:rsidP="00580C15">
      <w:pPr>
        <w:autoSpaceDE w:val="0"/>
        <w:autoSpaceDN w:val="0"/>
        <w:ind w:left="708"/>
        <w:rPr>
          <w:color w:val="FF0000"/>
        </w:rPr>
      </w:pPr>
    </w:p>
    <w:p w14:paraId="165B81CB" w14:textId="77777777" w:rsidR="00580C15" w:rsidRPr="00E108B7" w:rsidRDefault="00580C15" w:rsidP="00E108B7">
      <w:pPr>
        <w:spacing w:line="252" w:lineRule="auto"/>
        <w:jc w:val="both"/>
      </w:pPr>
      <w:r w:rsidRPr="00E108B7">
        <w:t>Afin d’évaluer les besoins de main-d’œuvre à venir, le MSSS procède à des projections actuarielles sur les projections de recrutement. Ces projections tiennent compte :</w:t>
      </w:r>
    </w:p>
    <w:p w14:paraId="4F8EF361" w14:textId="77777777" w:rsidR="00580C15" w:rsidRPr="00E108B7" w:rsidRDefault="00580C15" w:rsidP="00E108B7">
      <w:pPr>
        <w:pStyle w:val="Paragraphedeliste"/>
        <w:numPr>
          <w:ilvl w:val="1"/>
          <w:numId w:val="1"/>
        </w:numPr>
        <w:ind w:left="2148"/>
        <w:contextualSpacing/>
        <w:jc w:val="both"/>
      </w:pPr>
      <w:r w:rsidRPr="00E108B7">
        <w:t>Un scénario de croissance qui permet de tenir compte des projets de développement à venir;</w:t>
      </w:r>
    </w:p>
    <w:p w14:paraId="3A1BB7A4" w14:textId="77777777" w:rsidR="00580C15" w:rsidRPr="00E108B7" w:rsidRDefault="00580C15" w:rsidP="00E108B7">
      <w:pPr>
        <w:pStyle w:val="Paragraphedeliste"/>
        <w:numPr>
          <w:ilvl w:val="1"/>
          <w:numId w:val="1"/>
        </w:numPr>
        <w:ind w:left="2148"/>
        <w:contextualSpacing/>
        <w:jc w:val="both"/>
      </w:pPr>
      <w:r w:rsidRPr="00E108B7">
        <w:lastRenderedPageBreak/>
        <w:t xml:space="preserve">Les départs estimés, que ce </w:t>
      </w:r>
      <w:proofErr w:type="gramStart"/>
      <w:r w:rsidRPr="00E108B7">
        <w:t>soit</w:t>
      </w:r>
      <w:proofErr w:type="gramEnd"/>
      <w:r w:rsidRPr="00E108B7">
        <w:t xml:space="preserve"> les départs du réseau soit à la retraite ou les démissions, mais également les mouvements à l’interne du réseau;</w:t>
      </w:r>
    </w:p>
    <w:p w14:paraId="5460DB87" w14:textId="77777777" w:rsidR="00580C15" w:rsidRPr="00E108B7" w:rsidRDefault="00580C15" w:rsidP="00E108B7">
      <w:pPr>
        <w:pStyle w:val="Paragraphedeliste"/>
        <w:numPr>
          <w:ilvl w:val="1"/>
          <w:numId w:val="1"/>
        </w:numPr>
        <w:ind w:left="2148"/>
        <w:contextualSpacing/>
        <w:jc w:val="both"/>
      </w:pPr>
      <w:r w:rsidRPr="00E108B7">
        <w:t>L’historique des données des dernières années.</w:t>
      </w:r>
    </w:p>
    <w:p w14:paraId="22D2B8CA" w14:textId="77777777" w:rsidR="00580C15" w:rsidRDefault="00580C15" w:rsidP="00580C15">
      <w:pPr>
        <w:autoSpaceDE w:val="0"/>
        <w:autoSpaceDN w:val="0"/>
        <w:ind w:left="708"/>
        <w:rPr>
          <w:color w:val="0070C0"/>
        </w:rPr>
      </w:pPr>
    </w:p>
    <w:tbl>
      <w:tblPr>
        <w:tblW w:w="0" w:type="auto"/>
        <w:tblInd w:w="1128" w:type="dxa"/>
        <w:tblCellMar>
          <w:left w:w="0" w:type="dxa"/>
          <w:right w:w="0" w:type="dxa"/>
        </w:tblCellMar>
        <w:tblLook w:val="04A0" w:firstRow="1" w:lastRow="0" w:firstColumn="1" w:lastColumn="0" w:noHBand="0" w:noVBand="1"/>
      </w:tblPr>
      <w:tblGrid>
        <w:gridCol w:w="1100"/>
        <w:gridCol w:w="2161"/>
      </w:tblGrid>
      <w:tr w:rsidR="00580C15" w14:paraId="57C46796" w14:textId="77777777" w:rsidTr="00580C15">
        <w:trPr>
          <w:trHeight w:val="58"/>
          <w:tblHeader/>
        </w:trPr>
        <w:tc>
          <w:tcPr>
            <w:tcW w:w="0" w:type="auto"/>
            <w:tcBorders>
              <w:top w:val="single" w:sz="8" w:space="0" w:color="auto"/>
              <w:left w:val="nil"/>
              <w:bottom w:val="nil"/>
              <w:right w:val="nil"/>
            </w:tcBorders>
            <w:noWrap/>
            <w:tcMar>
              <w:top w:w="0" w:type="dxa"/>
              <w:left w:w="70" w:type="dxa"/>
              <w:bottom w:w="0" w:type="dxa"/>
              <w:right w:w="70" w:type="dxa"/>
            </w:tcMar>
            <w:vAlign w:val="bottom"/>
            <w:hideMark/>
          </w:tcPr>
          <w:p w14:paraId="0907E2B2" w14:textId="77777777" w:rsidR="00580C15" w:rsidRPr="00E108B7" w:rsidRDefault="00580C15">
            <w:pPr>
              <w:keepNext/>
              <w:jc w:val="center"/>
              <w:rPr>
                <w:b/>
                <w:bCs/>
              </w:rPr>
            </w:pPr>
            <w:r w:rsidRPr="00E108B7">
              <w:rPr>
                <w:b/>
                <w:bCs/>
              </w:rPr>
              <w:t>Année</w:t>
            </w:r>
          </w:p>
        </w:tc>
        <w:tc>
          <w:tcPr>
            <w:tcW w:w="2161" w:type="dxa"/>
            <w:tcBorders>
              <w:top w:val="single" w:sz="8" w:space="0" w:color="auto"/>
              <w:left w:val="nil"/>
              <w:bottom w:val="nil"/>
              <w:right w:val="nil"/>
            </w:tcBorders>
            <w:tcMar>
              <w:top w:w="0" w:type="dxa"/>
              <w:left w:w="70" w:type="dxa"/>
              <w:bottom w:w="0" w:type="dxa"/>
              <w:right w:w="70" w:type="dxa"/>
            </w:tcMar>
            <w:vAlign w:val="bottom"/>
            <w:hideMark/>
          </w:tcPr>
          <w:p w14:paraId="0E907AD1" w14:textId="77777777" w:rsidR="00580C15" w:rsidRPr="00E108B7" w:rsidRDefault="00580C15">
            <w:pPr>
              <w:keepNext/>
              <w:jc w:val="center"/>
              <w:rPr>
                <w:b/>
                <w:bCs/>
              </w:rPr>
            </w:pPr>
            <w:r w:rsidRPr="00E108B7">
              <w:rPr>
                <w:b/>
                <w:bCs/>
              </w:rPr>
              <w:t>Recrutement projeté</w:t>
            </w:r>
          </w:p>
        </w:tc>
      </w:tr>
      <w:tr w:rsidR="00580C15" w14:paraId="1794146A" w14:textId="77777777" w:rsidTr="00580C15">
        <w:trPr>
          <w:trHeight w:val="70"/>
          <w:tblHeader/>
        </w:trPr>
        <w:tc>
          <w:tcPr>
            <w:tcW w:w="0" w:type="auto"/>
            <w:tcBorders>
              <w:top w:val="nil"/>
              <w:left w:val="nil"/>
              <w:bottom w:val="double" w:sz="6" w:space="0" w:color="auto"/>
              <w:right w:val="nil"/>
            </w:tcBorders>
            <w:noWrap/>
            <w:tcMar>
              <w:top w:w="0" w:type="dxa"/>
              <w:left w:w="70" w:type="dxa"/>
              <w:bottom w:w="0" w:type="dxa"/>
              <w:right w:w="70" w:type="dxa"/>
            </w:tcMar>
            <w:vAlign w:val="bottom"/>
            <w:hideMark/>
          </w:tcPr>
          <w:p w14:paraId="24C6C028" w14:textId="77777777" w:rsidR="00580C15" w:rsidRPr="00E108B7" w:rsidRDefault="00580C15">
            <w:pPr>
              <w:rPr>
                <w:b/>
                <w:bCs/>
              </w:rPr>
            </w:pPr>
          </w:p>
        </w:tc>
        <w:tc>
          <w:tcPr>
            <w:tcW w:w="2161" w:type="dxa"/>
            <w:tcBorders>
              <w:top w:val="nil"/>
              <w:left w:val="nil"/>
              <w:bottom w:val="double" w:sz="6" w:space="0" w:color="auto"/>
              <w:right w:val="nil"/>
            </w:tcBorders>
            <w:tcMar>
              <w:top w:w="0" w:type="dxa"/>
              <w:left w:w="70" w:type="dxa"/>
              <w:bottom w:w="0" w:type="dxa"/>
              <w:right w:w="70" w:type="dxa"/>
            </w:tcMar>
            <w:vAlign w:val="bottom"/>
            <w:hideMark/>
          </w:tcPr>
          <w:p w14:paraId="77C69020" w14:textId="77777777" w:rsidR="00580C15" w:rsidRPr="00E108B7" w:rsidRDefault="00580C15">
            <w:pPr>
              <w:rPr>
                <w:rFonts w:ascii="Times New Roman" w:eastAsia="Times New Roman" w:hAnsi="Times New Roman" w:cs="Times New Roman"/>
                <w:sz w:val="20"/>
                <w:szCs w:val="20"/>
                <w:lang w:eastAsia="fr-CA"/>
              </w:rPr>
            </w:pPr>
          </w:p>
        </w:tc>
      </w:tr>
      <w:tr w:rsidR="00580C15" w14:paraId="1B0862AB" w14:textId="77777777" w:rsidTr="00580C15">
        <w:trPr>
          <w:trHeight w:val="315"/>
        </w:trPr>
        <w:tc>
          <w:tcPr>
            <w:tcW w:w="0" w:type="auto"/>
            <w:noWrap/>
            <w:tcMar>
              <w:top w:w="0" w:type="dxa"/>
              <w:left w:w="70" w:type="dxa"/>
              <w:bottom w:w="0" w:type="dxa"/>
              <w:right w:w="70" w:type="dxa"/>
            </w:tcMar>
            <w:vAlign w:val="bottom"/>
            <w:hideMark/>
          </w:tcPr>
          <w:p w14:paraId="26DFD27E" w14:textId="77777777" w:rsidR="00580C15" w:rsidRPr="00E108B7" w:rsidRDefault="00580C15">
            <w:pPr>
              <w:keepNext/>
              <w:jc w:val="center"/>
            </w:pPr>
            <w:r w:rsidRPr="00E108B7">
              <w:t>2020-2021</w:t>
            </w:r>
          </w:p>
        </w:tc>
        <w:tc>
          <w:tcPr>
            <w:tcW w:w="2161" w:type="dxa"/>
            <w:noWrap/>
            <w:tcMar>
              <w:top w:w="0" w:type="dxa"/>
              <w:left w:w="70" w:type="dxa"/>
              <w:bottom w:w="0" w:type="dxa"/>
              <w:right w:w="70" w:type="dxa"/>
            </w:tcMar>
            <w:vAlign w:val="bottom"/>
            <w:hideMark/>
          </w:tcPr>
          <w:p w14:paraId="739AF726" w14:textId="77777777" w:rsidR="00580C15" w:rsidRPr="00E108B7" w:rsidRDefault="00580C15">
            <w:pPr>
              <w:jc w:val="center"/>
            </w:pPr>
            <w:r w:rsidRPr="00E108B7">
              <w:t>33 350</w:t>
            </w:r>
          </w:p>
        </w:tc>
      </w:tr>
      <w:tr w:rsidR="00580C15" w14:paraId="0A4A1A8D" w14:textId="77777777" w:rsidTr="00580C15">
        <w:trPr>
          <w:trHeight w:val="288"/>
        </w:trPr>
        <w:tc>
          <w:tcPr>
            <w:tcW w:w="0" w:type="auto"/>
            <w:noWrap/>
            <w:tcMar>
              <w:top w:w="0" w:type="dxa"/>
              <w:left w:w="70" w:type="dxa"/>
              <w:bottom w:w="0" w:type="dxa"/>
              <w:right w:w="70" w:type="dxa"/>
            </w:tcMar>
            <w:vAlign w:val="bottom"/>
            <w:hideMark/>
          </w:tcPr>
          <w:p w14:paraId="2BBE0952" w14:textId="77777777" w:rsidR="00580C15" w:rsidRPr="00E108B7" w:rsidRDefault="00580C15">
            <w:pPr>
              <w:keepNext/>
              <w:jc w:val="center"/>
            </w:pPr>
            <w:r w:rsidRPr="00E108B7">
              <w:t>2021-2022</w:t>
            </w:r>
          </w:p>
        </w:tc>
        <w:tc>
          <w:tcPr>
            <w:tcW w:w="2161" w:type="dxa"/>
            <w:noWrap/>
            <w:tcMar>
              <w:top w:w="0" w:type="dxa"/>
              <w:left w:w="70" w:type="dxa"/>
              <w:bottom w:w="0" w:type="dxa"/>
              <w:right w:w="70" w:type="dxa"/>
            </w:tcMar>
            <w:vAlign w:val="bottom"/>
            <w:hideMark/>
          </w:tcPr>
          <w:p w14:paraId="34786868" w14:textId="77777777" w:rsidR="00580C15" w:rsidRPr="00E108B7" w:rsidRDefault="00580C15">
            <w:pPr>
              <w:jc w:val="center"/>
            </w:pPr>
            <w:r w:rsidRPr="00E108B7">
              <w:t>33 430</w:t>
            </w:r>
          </w:p>
        </w:tc>
      </w:tr>
      <w:tr w:rsidR="00580C15" w14:paraId="5177FB08" w14:textId="77777777" w:rsidTr="00580C15">
        <w:trPr>
          <w:trHeight w:val="300"/>
        </w:trPr>
        <w:tc>
          <w:tcPr>
            <w:tcW w:w="0" w:type="auto"/>
            <w:noWrap/>
            <w:tcMar>
              <w:top w:w="0" w:type="dxa"/>
              <w:left w:w="70" w:type="dxa"/>
              <w:bottom w:w="0" w:type="dxa"/>
              <w:right w:w="70" w:type="dxa"/>
            </w:tcMar>
            <w:vAlign w:val="bottom"/>
            <w:hideMark/>
          </w:tcPr>
          <w:p w14:paraId="57E9529C" w14:textId="77777777" w:rsidR="00580C15" w:rsidRPr="00E108B7" w:rsidRDefault="00580C15">
            <w:pPr>
              <w:keepNext/>
              <w:jc w:val="center"/>
            </w:pPr>
            <w:r w:rsidRPr="00E108B7">
              <w:t>2022-2023</w:t>
            </w:r>
          </w:p>
        </w:tc>
        <w:tc>
          <w:tcPr>
            <w:tcW w:w="2161" w:type="dxa"/>
            <w:noWrap/>
            <w:tcMar>
              <w:top w:w="0" w:type="dxa"/>
              <w:left w:w="70" w:type="dxa"/>
              <w:bottom w:w="0" w:type="dxa"/>
              <w:right w:w="70" w:type="dxa"/>
            </w:tcMar>
            <w:vAlign w:val="bottom"/>
            <w:hideMark/>
          </w:tcPr>
          <w:p w14:paraId="2D131E23" w14:textId="77777777" w:rsidR="00580C15" w:rsidRPr="00E108B7" w:rsidRDefault="00580C15">
            <w:pPr>
              <w:jc w:val="center"/>
            </w:pPr>
            <w:r w:rsidRPr="00E108B7">
              <w:t>32 588</w:t>
            </w:r>
          </w:p>
        </w:tc>
      </w:tr>
      <w:tr w:rsidR="00580C15" w14:paraId="086B6ADA" w14:textId="77777777" w:rsidTr="00580C15">
        <w:trPr>
          <w:trHeight w:val="300"/>
        </w:trPr>
        <w:tc>
          <w:tcPr>
            <w:tcW w:w="0" w:type="auto"/>
            <w:noWrap/>
            <w:tcMar>
              <w:top w:w="0" w:type="dxa"/>
              <w:left w:w="70" w:type="dxa"/>
              <w:bottom w:w="0" w:type="dxa"/>
              <w:right w:w="70" w:type="dxa"/>
            </w:tcMar>
            <w:vAlign w:val="bottom"/>
            <w:hideMark/>
          </w:tcPr>
          <w:p w14:paraId="02E64557" w14:textId="77777777" w:rsidR="00580C15" w:rsidRPr="00E108B7" w:rsidRDefault="00580C15">
            <w:pPr>
              <w:keepNext/>
              <w:jc w:val="center"/>
            </w:pPr>
            <w:r w:rsidRPr="00E108B7">
              <w:t>2023-2024</w:t>
            </w:r>
          </w:p>
        </w:tc>
        <w:tc>
          <w:tcPr>
            <w:tcW w:w="2161" w:type="dxa"/>
            <w:noWrap/>
            <w:tcMar>
              <w:top w:w="0" w:type="dxa"/>
              <w:left w:w="70" w:type="dxa"/>
              <w:bottom w:w="0" w:type="dxa"/>
              <w:right w:w="70" w:type="dxa"/>
            </w:tcMar>
            <w:vAlign w:val="bottom"/>
            <w:hideMark/>
          </w:tcPr>
          <w:p w14:paraId="56FECF81" w14:textId="77777777" w:rsidR="00580C15" w:rsidRPr="00E108B7" w:rsidRDefault="00580C15">
            <w:pPr>
              <w:jc w:val="center"/>
            </w:pPr>
            <w:r w:rsidRPr="00E108B7">
              <w:t>32 293</w:t>
            </w:r>
          </w:p>
        </w:tc>
      </w:tr>
      <w:tr w:rsidR="00580C15" w14:paraId="2CC5F94A" w14:textId="77777777" w:rsidTr="00580C15">
        <w:trPr>
          <w:trHeight w:val="300"/>
        </w:trPr>
        <w:tc>
          <w:tcPr>
            <w:tcW w:w="0" w:type="auto"/>
            <w:noWrap/>
            <w:tcMar>
              <w:top w:w="0" w:type="dxa"/>
              <w:left w:w="70" w:type="dxa"/>
              <w:bottom w:w="0" w:type="dxa"/>
              <w:right w:w="70" w:type="dxa"/>
            </w:tcMar>
            <w:vAlign w:val="bottom"/>
            <w:hideMark/>
          </w:tcPr>
          <w:p w14:paraId="1BEECF4A" w14:textId="77777777" w:rsidR="00580C15" w:rsidRPr="00E108B7" w:rsidRDefault="00580C15">
            <w:pPr>
              <w:keepNext/>
              <w:jc w:val="center"/>
            </w:pPr>
            <w:r w:rsidRPr="00E108B7">
              <w:t>2024-2025</w:t>
            </w:r>
          </w:p>
        </w:tc>
        <w:tc>
          <w:tcPr>
            <w:tcW w:w="2161" w:type="dxa"/>
            <w:noWrap/>
            <w:tcMar>
              <w:top w:w="0" w:type="dxa"/>
              <w:left w:w="70" w:type="dxa"/>
              <w:bottom w:w="0" w:type="dxa"/>
              <w:right w:w="70" w:type="dxa"/>
            </w:tcMar>
            <w:vAlign w:val="bottom"/>
            <w:hideMark/>
          </w:tcPr>
          <w:p w14:paraId="33931629" w14:textId="77777777" w:rsidR="00580C15" w:rsidRPr="00E108B7" w:rsidRDefault="00580C15">
            <w:pPr>
              <w:jc w:val="center"/>
            </w:pPr>
            <w:r w:rsidRPr="00E108B7">
              <w:t>31 834</w:t>
            </w:r>
          </w:p>
        </w:tc>
      </w:tr>
      <w:tr w:rsidR="00580C15" w14:paraId="6ABBA1F1" w14:textId="77777777" w:rsidTr="00580C15">
        <w:trPr>
          <w:trHeight w:val="300"/>
        </w:trPr>
        <w:tc>
          <w:tcPr>
            <w:tcW w:w="0" w:type="auto"/>
            <w:noWrap/>
            <w:tcMar>
              <w:top w:w="0" w:type="dxa"/>
              <w:left w:w="70" w:type="dxa"/>
              <w:bottom w:w="0" w:type="dxa"/>
              <w:right w:w="70" w:type="dxa"/>
            </w:tcMar>
            <w:vAlign w:val="bottom"/>
            <w:hideMark/>
          </w:tcPr>
          <w:p w14:paraId="41F94FEB" w14:textId="77777777" w:rsidR="00580C15" w:rsidRPr="00E108B7" w:rsidRDefault="00580C15">
            <w:pPr>
              <w:keepNext/>
              <w:jc w:val="center"/>
            </w:pPr>
            <w:r w:rsidRPr="00E108B7">
              <w:t>2025-2026</w:t>
            </w:r>
          </w:p>
        </w:tc>
        <w:tc>
          <w:tcPr>
            <w:tcW w:w="2161" w:type="dxa"/>
            <w:noWrap/>
            <w:tcMar>
              <w:top w:w="0" w:type="dxa"/>
              <w:left w:w="70" w:type="dxa"/>
              <w:bottom w:w="0" w:type="dxa"/>
              <w:right w:w="70" w:type="dxa"/>
            </w:tcMar>
            <w:vAlign w:val="bottom"/>
            <w:hideMark/>
          </w:tcPr>
          <w:p w14:paraId="147BC184" w14:textId="77777777" w:rsidR="00580C15" w:rsidRPr="00E108B7" w:rsidRDefault="00580C15">
            <w:pPr>
              <w:jc w:val="center"/>
            </w:pPr>
            <w:r w:rsidRPr="00E108B7">
              <w:t>34 182</w:t>
            </w:r>
          </w:p>
        </w:tc>
      </w:tr>
      <w:tr w:rsidR="00580C15" w14:paraId="6872EF7F" w14:textId="77777777" w:rsidTr="00580C15">
        <w:trPr>
          <w:trHeight w:val="70"/>
        </w:trPr>
        <w:tc>
          <w:tcPr>
            <w:tcW w:w="0" w:type="auto"/>
            <w:noWrap/>
            <w:tcMar>
              <w:top w:w="0" w:type="dxa"/>
              <w:left w:w="70" w:type="dxa"/>
              <w:bottom w:w="0" w:type="dxa"/>
              <w:right w:w="70" w:type="dxa"/>
            </w:tcMar>
            <w:vAlign w:val="bottom"/>
            <w:hideMark/>
          </w:tcPr>
          <w:p w14:paraId="3B409536" w14:textId="77777777" w:rsidR="00580C15" w:rsidRPr="00E108B7" w:rsidRDefault="00580C15">
            <w:pPr>
              <w:keepNext/>
              <w:jc w:val="center"/>
            </w:pPr>
            <w:r w:rsidRPr="00E108B7">
              <w:t>2026-2027</w:t>
            </w:r>
          </w:p>
        </w:tc>
        <w:tc>
          <w:tcPr>
            <w:tcW w:w="2161" w:type="dxa"/>
            <w:noWrap/>
            <w:tcMar>
              <w:top w:w="0" w:type="dxa"/>
              <w:left w:w="70" w:type="dxa"/>
              <w:bottom w:w="0" w:type="dxa"/>
              <w:right w:w="70" w:type="dxa"/>
            </w:tcMar>
            <w:vAlign w:val="bottom"/>
            <w:hideMark/>
          </w:tcPr>
          <w:p w14:paraId="37A8F95B" w14:textId="77777777" w:rsidR="00580C15" w:rsidRPr="00E108B7" w:rsidRDefault="00580C15">
            <w:pPr>
              <w:jc w:val="center"/>
            </w:pPr>
            <w:r w:rsidRPr="00E108B7">
              <w:t>31 278</w:t>
            </w:r>
          </w:p>
        </w:tc>
      </w:tr>
      <w:tr w:rsidR="00580C15" w14:paraId="6C6F9E9A" w14:textId="77777777" w:rsidTr="00580C15">
        <w:trPr>
          <w:trHeight w:val="300"/>
        </w:trPr>
        <w:tc>
          <w:tcPr>
            <w:tcW w:w="0" w:type="auto"/>
            <w:noWrap/>
            <w:tcMar>
              <w:top w:w="0" w:type="dxa"/>
              <w:left w:w="70" w:type="dxa"/>
              <w:bottom w:w="0" w:type="dxa"/>
              <w:right w:w="70" w:type="dxa"/>
            </w:tcMar>
            <w:vAlign w:val="bottom"/>
            <w:hideMark/>
          </w:tcPr>
          <w:p w14:paraId="1C5ADA5E" w14:textId="77777777" w:rsidR="00580C15" w:rsidRPr="00E108B7" w:rsidRDefault="00580C15">
            <w:pPr>
              <w:jc w:val="center"/>
            </w:pPr>
            <w:r w:rsidRPr="00E108B7">
              <w:t>2027-2028</w:t>
            </w:r>
          </w:p>
        </w:tc>
        <w:tc>
          <w:tcPr>
            <w:tcW w:w="2161" w:type="dxa"/>
            <w:noWrap/>
            <w:tcMar>
              <w:top w:w="0" w:type="dxa"/>
              <w:left w:w="70" w:type="dxa"/>
              <w:bottom w:w="0" w:type="dxa"/>
              <w:right w:w="70" w:type="dxa"/>
            </w:tcMar>
            <w:vAlign w:val="bottom"/>
            <w:hideMark/>
          </w:tcPr>
          <w:p w14:paraId="64780BF5" w14:textId="77777777" w:rsidR="00580C15" w:rsidRPr="00E108B7" w:rsidRDefault="00580C15">
            <w:pPr>
              <w:jc w:val="center"/>
            </w:pPr>
            <w:r w:rsidRPr="00E108B7">
              <w:t>30 832</w:t>
            </w:r>
          </w:p>
        </w:tc>
      </w:tr>
    </w:tbl>
    <w:p w14:paraId="112469AB" w14:textId="77777777" w:rsidR="00580C15" w:rsidRDefault="00580C15" w:rsidP="00580C15">
      <w:pPr>
        <w:autoSpaceDE w:val="0"/>
        <w:autoSpaceDN w:val="0"/>
        <w:ind w:left="708"/>
      </w:pPr>
    </w:p>
    <w:p w14:paraId="3CF67201" w14:textId="77777777" w:rsidR="00580C15" w:rsidRDefault="00580C15" w:rsidP="00580C15">
      <w:pPr>
        <w:autoSpaceDE w:val="0"/>
        <w:autoSpaceDN w:val="0"/>
        <w:ind w:left="708"/>
        <w:rPr>
          <w:color w:val="ED7D31"/>
        </w:rPr>
      </w:pPr>
    </w:p>
    <w:p w14:paraId="558062A2" w14:textId="51FDB1F1" w:rsidR="00580C15" w:rsidRPr="00580C15" w:rsidRDefault="00580C15" w:rsidP="00E108B7">
      <w:pPr>
        <w:pStyle w:val="Paragraphedeliste"/>
        <w:numPr>
          <w:ilvl w:val="0"/>
          <w:numId w:val="5"/>
        </w:numPr>
        <w:autoSpaceDE w:val="0"/>
        <w:autoSpaceDN w:val="0"/>
        <w:jc w:val="both"/>
        <w:rPr>
          <w:b/>
          <w:bCs/>
        </w:rPr>
      </w:pPr>
      <w:r w:rsidRPr="00580C15">
        <w:rPr>
          <w:b/>
          <w:bCs/>
        </w:rPr>
        <w:t>Le nombre de préposés aux bénéficiaires qui sont toujours à l’emploi et qui travaillent à temps plein dans les CHSLD à la suite de leur formation accélérée ainsi que le nombre de préposés aux bénéficiaires qui ont quitté la profession à la suite de la formation accélérée.</w:t>
      </w:r>
    </w:p>
    <w:p w14:paraId="20D17258" w14:textId="77777777" w:rsidR="00580C15" w:rsidRDefault="00580C15" w:rsidP="00580C15">
      <w:pPr>
        <w:autoSpaceDE w:val="0"/>
        <w:autoSpaceDN w:val="0"/>
        <w:rPr>
          <w:color w:val="ED7D31"/>
        </w:rPr>
      </w:pPr>
    </w:p>
    <w:p w14:paraId="3954CBA0" w14:textId="496C0996" w:rsidR="00580C15" w:rsidRPr="00E108B7" w:rsidRDefault="00580C15" w:rsidP="00E108B7">
      <w:pPr>
        <w:textAlignment w:val="center"/>
        <w:rPr>
          <w:lang w:eastAsia="fr-CA"/>
        </w:rPr>
      </w:pPr>
      <w:r w:rsidRPr="00E108B7">
        <w:rPr>
          <w:lang w:eastAsia="fr-CA"/>
        </w:rPr>
        <w:t xml:space="preserve">En date du 23 mars 2022: il y </w:t>
      </w:r>
      <w:r w:rsidR="00E108B7">
        <w:rPr>
          <w:lang w:eastAsia="fr-CA"/>
        </w:rPr>
        <w:t>a eu</w:t>
      </w:r>
      <w:r w:rsidRPr="00E108B7">
        <w:rPr>
          <w:lang w:eastAsia="fr-CA"/>
        </w:rPr>
        <w:t xml:space="preserve"> 9 790 candidats embauchés dans les établissements publics du réseau de la santé et des services sociaux, les EPC ainsi que les EPNC:</w:t>
      </w:r>
    </w:p>
    <w:p w14:paraId="05148CC0" w14:textId="77777777" w:rsidR="00580C15" w:rsidRPr="00E108B7" w:rsidRDefault="00580C15" w:rsidP="00580C15">
      <w:pPr>
        <w:ind w:left="1788"/>
        <w:rPr>
          <w:lang w:eastAsia="fr-CA"/>
        </w:rPr>
      </w:pPr>
      <w:r w:rsidRPr="00E108B7">
        <w:rPr>
          <w:lang w:eastAsia="fr-CA"/>
        </w:rPr>
        <w:t> </w:t>
      </w:r>
    </w:p>
    <w:p w14:paraId="00684A24" w14:textId="77777777" w:rsidR="00580C15" w:rsidRPr="00E108B7" w:rsidRDefault="00580C15" w:rsidP="00580C15">
      <w:pPr>
        <w:numPr>
          <w:ilvl w:val="0"/>
          <w:numId w:val="3"/>
        </w:numPr>
        <w:ind w:left="2148"/>
        <w:textAlignment w:val="center"/>
        <w:rPr>
          <w:lang w:eastAsia="fr-CA"/>
        </w:rPr>
      </w:pPr>
      <w:r w:rsidRPr="00E108B7">
        <w:rPr>
          <w:lang w:eastAsia="fr-CA"/>
        </w:rPr>
        <w:t xml:space="preserve">8 125 sont toujours à l’emploi des établissements, ce qui porte le taux de rétention à près de 83 % </w:t>
      </w:r>
    </w:p>
    <w:p w14:paraId="3BF0F6E2" w14:textId="77777777" w:rsidR="00580C15" w:rsidRPr="00E108B7" w:rsidRDefault="00580C15" w:rsidP="00580C15">
      <w:pPr>
        <w:numPr>
          <w:ilvl w:val="0"/>
          <w:numId w:val="3"/>
        </w:numPr>
        <w:ind w:left="2148"/>
        <w:textAlignment w:val="center"/>
        <w:rPr>
          <w:lang w:eastAsia="fr-CA"/>
        </w:rPr>
      </w:pPr>
      <w:r w:rsidRPr="00E108B7">
        <w:rPr>
          <w:lang w:eastAsia="fr-CA"/>
        </w:rPr>
        <w:t>1 665 PAB ont quitté la profession</w:t>
      </w:r>
    </w:p>
    <w:p w14:paraId="263C1199" w14:textId="77777777" w:rsidR="00580C15" w:rsidRPr="00E108B7" w:rsidRDefault="00580C15" w:rsidP="00580C15">
      <w:pPr>
        <w:numPr>
          <w:ilvl w:val="1"/>
          <w:numId w:val="3"/>
        </w:numPr>
        <w:ind w:left="2868"/>
        <w:textAlignment w:val="center"/>
        <w:rPr>
          <w:lang w:eastAsia="fr-CA"/>
        </w:rPr>
      </w:pPr>
      <w:r w:rsidRPr="00E108B7">
        <w:rPr>
          <w:lang w:eastAsia="fr-CA"/>
        </w:rPr>
        <w:t>409 ayant eu une fin de probation</w:t>
      </w:r>
    </w:p>
    <w:p w14:paraId="697BE61C" w14:textId="54A5A623" w:rsidR="00580C15" w:rsidRPr="00E108B7" w:rsidRDefault="00580C15" w:rsidP="00580C15">
      <w:pPr>
        <w:numPr>
          <w:ilvl w:val="1"/>
          <w:numId w:val="3"/>
        </w:numPr>
        <w:ind w:left="2868"/>
        <w:textAlignment w:val="center"/>
        <w:rPr>
          <w:lang w:eastAsia="fr-CA"/>
        </w:rPr>
      </w:pPr>
      <w:r w:rsidRPr="00E108B7">
        <w:rPr>
          <w:lang w:eastAsia="fr-CA"/>
        </w:rPr>
        <w:t>1 256 ayant démissionné</w:t>
      </w:r>
    </w:p>
    <w:p w14:paraId="51379D9B" w14:textId="77777777" w:rsidR="00580C15" w:rsidRPr="00E108B7" w:rsidRDefault="00580C15" w:rsidP="00580C15">
      <w:pPr>
        <w:ind w:left="3408"/>
        <w:rPr>
          <w:lang w:eastAsia="fr-CA"/>
        </w:rPr>
      </w:pPr>
      <w:r w:rsidRPr="00E108B7">
        <w:rPr>
          <w:lang w:eastAsia="fr-CA"/>
        </w:rPr>
        <w:t> </w:t>
      </w:r>
    </w:p>
    <w:p w14:paraId="5DA6308D" w14:textId="217A6EBA" w:rsidR="00580C15" w:rsidRPr="00E108B7" w:rsidRDefault="00E108B7" w:rsidP="00E108B7">
      <w:pPr>
        <w:textAlignment w:val="center"/>
        <w:rPr>
          <w:lang w:eastAsia="fr-CA"/>
        </w:rPr>
      </w:pPr>
      <w:r>
        <w:rPr>
          <w:lang w:eastAsia="fr-CA"/>
        </w:rPr>
        <w:t xml:space="preserve">De plus, </w:t>
      </w:r>
      <w:r w:rsidR="00580C15" w:rsidRPr="00E108B7">
        <w:rPr>
          <w:lang w:eastAsia="fr-CA"/>
        </w:rPr>
        <w:t>285 candidats étaient toujours en formation à cette date</w:t>
      </w:r>
      <w:r>
        <w:rPr>
          <w:lang w:eastAsia="fr-CA"/>
        </w:rPr>
        <w:t>.</w:t>
      </w:r>
    </w:p>
    <w:p w14:paraId="4BA18AFB" w14:textId="77777777" w:rsidR="00580C15" w:rsidRPr="00E108B7" w:rsidRDefault="00580C15" w:rsidP="00580C15">
      <w:pPr>
        <w:autoSpaceDE w:val="0"/>
        <w:autoSpaceDN w:val="0"/>
        <w:ind w:left="708"/>
      </w:pPr>
    </w:p>
    <w:p w14:paraId="15B8A1DD" w14:textId="737138E4" w:rsidR="00580C15" w:rsidRPr="00580C15" w:rsidRDefault="00580C15" w:rsidP="00E108B7">
      <w:pPr>
        <w:pStyle w:val="Paragraphedeliste"/>
        <w:numPr>
          <w:ilvl w:val="0"/>
          <w:numId w:val="5"/>
        </w:numPr>
        <w:autoSpaceDE w:val="0"/>
        <w:autoSpaceDN w:val="0"/>
        <w:jc w:val="both"/>
        <w:rPr>
          <w:b/>
          <w:bCs/>
        </w:rPr>
      </w:pPr>
      <w:r w:rsidRPr="00580C15">
        <w:rPr>
          <w:b/>
          <w:bCs/>
        </w:rPr>
        <w:t>Le nombre d’heures de temps supplémentaire</w:t>
      </w:r>
      <w:r w:rsidR="007D5CED">
        <w:rPr>
          <w:b/>
          <w:bCs/>
        </w:rPr>
        <w:t>s</w:t>
      </w:r>
      <w:r w:rsidRPr="00580C15">
        <w:rPr>
          <w:b/>
          <w:bCs/>
        </w:rPr>
        <w:t xml:space="preserve"> et de temps supplémentaire obligatoire effectué depuis mars 2020, toute catégorie d’emploi confondu.</w:t>
      </w:r>
    </w:p>
    <w:p w14:paraId="286AD1D6" w14:textId="77777777" w:rsidR="00580C15" w:rsidRDefault="00580C15" w:rsidP="00580C15">
      <w:pPr>
        <w:autoSpaceDE w:val="0"/>
        <w:autoSpaceDN w:val="0"/>
        <w:rPr>
          <w:color w:val="ED7D31"/>
        </w:rPr>
      </w:pPr>
    </w:p>
    <w:p w14:paraId="6726494A" w14:textId="59A06CB3" w:rsidR="00580C15" w:rsidRPr="00E108B7" w:rsidRDefault="00580C15" w:rsidP="00E108B7">
      <w:pPr>
        <w:jc w:val="both"/>
      </w:pPr>
      <w:r w:rsidRPr="00E108B7">
        <w:t>Voici le portrait qui a été présenté à l’étude des crédits. Les données présentées proviennent de reddition auprès des établissements, et peuvent donc ne pas être intégrales. Les données sont issues de deux processus de reddition distinct</w:t>
      </w:r>
      <w:r w:rsidR="007D5CED">
        <w:t>s</w:t>
      </w:r>
      <w:r w:rsidRPr="00E108B7">
        <w:t>, l’un couvrant la période du 1</w:t>
      </w:r>
      <w:r w:rsidRPr="00E108B7">
        <w:rPr>
          <w:vertAlign w:val="superscript"/>
        </w:rPr>
        <w:t>er</w:t>
      </w:r>
      <w:r w:rsidRPr="00E108B7">
        <w:t xml:space="preserve"> avril 2021 au 26 septembre 2021 et l’autre du 9 octobre 2021 au 26 février 2022. Ce tableau présente le comportement moyen, par période de paie, du nombre d’heures et du taux de TSO.</w:t>
      </w:r>
    </w:p>
    <w:p w14:paraId="42D689F4" w14:textId="77777777" w:rsidR="00580C15" w:rsidRDefault="00580C15" w:rsidP="00580C15">
      <w:pPr>
        <w:ind w:left="708"/>
        <w:rPr>
          <w:color w:val="0070C0"/>
        </w:rPr>
      </w:pPr>
    </w:p>
    <w:tbl>
      <w:tblPr>
        <w:tblW w:w="8961" w:type="dxa"/>
        <w:tblInd w:w="708" w:type="dxa"/>
        <w:tblCellMar>
          <w:left w:w="0" w:type="dxa"/>
          <w:right w:w="0" w:type="dxa"/>
        </w:tblCellMar>
        <w:tblLook w:val="04A0" w:firstRow="1" w:lastRow="0" w:firstColumn="1" w:lastColumn="0" w:noHBand="0" w:noVBand="1"/>
      </w:tblPr>
      <w:tblGrid>
        <w:gridCol w:w="3772"/>
        <w:gridCol w:w="1473"/>
        <w:gridCol w:w="1985"/>
        <w:gridCol w:w="1731"/>
      </w:tblGrid>
      <w:tr w:rsidR="00580C15" w14:paraId="656B3E9B" w14:textId="77777777" w:rsidTr="00580C15">
        <w:trPr>
          <w:trHeight w:val="1032"/>
        </w:trPr>
        <w:tc>
          <w:tcPr>
            <w:tcW w:w="8961" w:type="dxa"/>
            <w:gridSpan w:val="4"/>
            <w:tcMar>
              <w:top w:w="0" w:type="dxa"/>
              <w:left w:w="70" w:type="dxa"/>
              <w:bottom w:w="0" w:type="dxa"/>
              <w:right w:w="70" w:type="dxa"/>
            </w:tcMar>
            <w:vAlign w:val="center"/>
            <w:hideMark/>
          </w:tcPr>
          <w:p w14:paraId="56EBE27A" w14:textId="7A770230" w:rsidR="00580C15" w:rsidRPr="00E108B7" w:rsidRDefault="00580C15" w:rsidP="00794FD5">
            <w:pPr>
              <w:pStyle w:val="xmsonormal"/>
              <w:ind w:left="-113"/>
              <w:jc w:val="center"/>
              <w:rPr>
                <w:rFonts w:ascii="Times New Roman" w:hAnsi="Times New Roman" w:cs="Times New Roman"/>
                <w:b/>
                <w:bCs/>
                <w:vertAlign w:val="superscript"/>
              </w:rPr>
            </w:pPr>
            <w:r w:rsidRPr="00E108B7">
              <w:rPr>
                <w:rFonts w:asciiTheme="minorHAnsi" w:hAnsiTheme="minorHAnsi" w:cstheme="minorHAnsi"/>
                <w:b/>
                <w:bCs/>
              </w:rPr>
              <w:t xml:space="preserve">Nombre moyen d'heures en temps supplémentaire obligatoire et totales travaillées par période de paie (2 semaines), </w:t>
            </w:r>
            <w:r w:rsidRPr="00E108B7">
              <w:rPr>
                <w:rFonts w:asciiTheme="minorHAnsi" w:hAnsiTheme="minorHAnsi" w:cstheme="minorHAnsi"/>
                <w:b/>
                <w:bCs/>
              </w:rPr>
              <w:br/>
              <w:t>du 1</w:t>
            </w:r>
            <w:r w:rsidR="007D5CED">
              <w:rPr>
                <w:rFonts w:asciiTheme="minorHAnsi" w:hAnsiTheme="minorHAnsi" w:cstheme="minorHAnsi"/>
                <w:b/>
                <w:bCs/>
              </w:rPr>
              <w:t>er</w:t>
            </w:r>
            <w:r w:rsidRPr="00E108B7">
              <w:rPr>
                <w:rFonts w:asciiTheme="minorHAnsi" w:hAnsiTheme="minorHAnsi" w:cstheme="minorHAnsi"/>
                <w:b/>
                <w:bCs/>
              </w:rPr>
              <w:t xml:space="preserve"> avril 2021 au 26 février 2022</w:t>
            </w:r>
            <w:r w:rsidRPr="00E108B7">
              <w:rPr>
                <w:rFonts w:asciiTheme="minorHAnsi" w:hAnsiTheme="minorHAnsi" w:cstheme="minorHAnsi"/>
                <w:b/>
                <w:bCs/>
                <w:vertAlign w:val="superscript"/>
              </w:rPr>
              <w:t>1,</w:t>
            </w:r>
            <w:r w:rsidRPr="00E108B7">
              <w:rPr>
                <w:rFonts w:ascii="Times New Roman" w:hAnsi="Times New Roman" w:cs="Times New Roman"/>
                <w:b/>
                <w:bCs/>
                <w:vertAlign w:val="superscript"/>
              </w:rPr>
              <w:t xml:space="preserve"> 2</w:t>
            </w:r>
          </w:p>
          <w:p w14:paraId="47137008" w14:textId="77777777" w:rsidR="00580C15" w:rsidRDefault="00580C15">
            <w:pPr>
              <w:pStyle w:val="xmsonormal"/>
              <w:jc w:val="center"/>
              <w:rPr>
                <w:rFonts w:ascii="Times New Roman" w:hAnsi="Times New Roman" w:cs="Times New Roman"/>
                <w:b/>
                <w:bCs/>
                <w:color w:val="0070C0"/>
                <w:sz w:val="24"/>
                <w:szCs w:val="24"/>
                <w:vertAlign w:val="superscript"/>
              </w:rPr>
            </w:pPr>
          </w:p>
          <w:p w14:paraId="3B7728F6" w14:textId="509A35EC" w:rsidR="00580C15" w:rsidRDefault="00580C15">
            <w:pPr>
              <w:pStyle w:val="xmsonormal"/>
              <w:jc w:val="center"/>
              <w:rPr>
                <w:color w:val="0070C0"/>
              </w:rPr>
            </w:pPr>
          </w:p>
        </w:tc>
      </w:tr>
      <w:tr w:rsidR="00580C15" w14:paraId="2BE44DD2" w14:textId="77777777" w:rsidTr="00580C15">
        <w:trPr>
          <w:trHeight w:val="288"/>
        </w:trPr>
        <w:tc>
          <w:tcPr>
            <w:tcW w:w="3772" w:type="dxa"/>
            <w:noWrap/>
            <w:tcMar>
              <w:top w:w="0" w:type="dxa"/>
              <w:left w:w="70" w:type="dxa"/>
              <w:bottom w:w="0" w:type="dxa"/>
              <w:right w:w="70" w:type="dxa"/>
            </w:tcMar>
            <w:vAlign w:val="bottom"/>
            <w:hideMark/>
          </w:tcPr>
          <w:p w14:paraId="5E4DA6F5" w14:textId="77777777" w:rsidR="00580C15" w:rsidRDefault="00580C15">
            <w:pPr>
              <w:rPr>
                <w:color w:val="0070C0"/>
              </w:rPr>
            </w:pPr>
          </w:p>
        </w:tc>
        <w:tc>
          <w:tcPr>
            <w:tcW w:w="1473" w:type="dxa"/>
            <w:noWrap/>
            <w:tcMar>
              <w:top w:w="0" w:type="dxa"/>
              <w:left w:w="70" w:type="dxa"/>
              <w:bottom w:w="0" w:type="dxa"/>
              <w:right w:w="70" w:type="dxa"/>
            </w:tcMar>
            <w:vAlign w:val="bottom"/>
            <w:hideMark/>
          </w:tcPr>
          <w:p w14:paraId="640AFF5C" w14:textId="77777777" w:rsidR="00580C15" w:rsidRDefault="00580C15">
            <w:pPr>
              <w:rPr>
                <w:rFonts w:ascii="Times New Roman" w:eastAsia="Times New Roman" w:hAnsi="Times New Roman" w:cs="Times New Roman"/>
                <w:sz w:val="20"/>
                <w:szCs w:val="20"/>
                <w:lang w:eastAsia="fr-CA"/>
              </w:rPr>
            </w:pPr>
          </w:p>
        </w:tc>
        <w:tc>
          <w:tcPr>
            <w:tcW w:w="1985" w:type="dxa"/>
            <w:noWrap/>
            <w:tcMar>
              <w:top w:w="0" w:type="dxa"/>
              <w:left w:w="70" w:type="dxa"/>
              <w:bottom w:w="0" w:type="dxa"/>
              <w:right w:w="70" w:type="dxa"/>
            </w:tcMar>
            <w:vAlign w:val="bottom"/>
            <w:hideMark/>
          </w:tcPr>
          <w:p w14:paraId="14F35E04" w14:textId="77777777" w:rsidR="00580C15" w:rsidRDefault="00580C15">
            <w:pPr>
              <w:rPr>
                <w:rFonts w:ascii="Times New Roman" w:eastAsia="Times New Roman" w:hAnsi="Times New Roman" w:cs="Times New Roman"/>
                <w:sz w:val="20"/>
                <w:szCs w:val="20"/>
                <w:lang w:eastAsia="fr-CA"/>
              </w:rPr>
            </w:pPr>
          </w:p>
        </w:tc>
        <w:tc>
          <w:tcPr>
            <w:tcW w:w="1731" w:type="dxa"/>
            <w:noWrap/>
            <w:tcMar>
              <w:top w:w="0" w:type="dxa"/>
              <w:left w:w="70" w:type="dxa"/>
              <w:bottom w:w="0" w:type="dxa"/>
              <w:right w:w="70" w:type="dxa"/>
            </w:tcMar>
            <w:vAlign w:val="bottom"/>
            <w:hideMark/>
          </w:tcPr>
          <w:p w14:paraId="576A8104" w14:textId="77777777" w:rsidR="00580C15" w:rsidRDefault="00580C15">
            <w:pPr>
              <w:rPr>
                <w:rFonts w:ascii="Times New Roman" w:eastAsia="Times New Roman" w:hAnsi="Times New Roman" w:cs="Times New Roman"/>
                <w:sz w:val="20"/>
                <w:szCs w:val="20"/>
                <w:lang w:eastAsia="fr-CA"/>
              </w:rPr>
            </w:pPr>
          </w:p>
        </w:tc>
      </w:tr>
      <w:tr w:rsidR="00580C15" w14:paraId="737CD587" w14:textId="77777777" w:rsidTr="00580C15">
        <w:trPr>
          <w:trHeight w:val="624"/>
        </w:trPr>
        <w:tc>
          <w:tcPr>
            <w:tcW w:w="3772" w:type="dxa"/>
            <w:tcBorders>
              <w:top w:val="single" w:sz="8" w:space="0" w:color="auto"/>
              <w:left w:val="single" w:sz="8" w:space="0" w:color="auto"/>
              <w:bottom w:val="single" w:sz="8" w:space="0" w:color="auto"/>
              <w:right w:val="single" w:sz="8" w:space="0" w:color="auto"/>
            </w:tcBorders>
            <w:shd w:val="clear" w:color="auto" w:fill="D9E1F2"/>
            <w:tcMar>
              <w:top w:w="0" w:type="dxa"/>
              <w:left w:w="70" w:type="dxa"/>
              <w:bottom w:w="0" w:type="dxa"/>
              <w:right w:w="70" w:type="dxa"/>
            </w:tcMar>
            <w:vAlign w:val="center"/>
            <w:hideMark/>
          </w:tcPr>
          <w:p w14:paraId="708A432F" w14:textId="77777777" w:rsidR="00580C15" w:rsidRPr="00E108B7" w:rsidRDefault="00580C15">
            <w:pPr>
              <w:pStyle w:val="xmsonormal"/>
            </w:pPr>
            <w:r w:rsidRPr="00E108B7">
              <w:rPr>
                <w:rFonts w:ascii="Times New Roman" w:hAnsi="Times New Roman" w:cs="Times New Roman"/>
                <w:b/>
                <w:bCs/>
                <w:sz w:val="24"/>
                <w:szCs w:val="24"/>
              </w:rPr>
              <w:lastRenderedPageBreak/>
              <w:t>Moyenne par période de paie</w:t>
            </w:r>
          </w:p>
        </w:tc>
        <w:tc>
          <w:tcPr>
            <w:tcW w:w="1473"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center"/>
            <w:hideMark/>
          </w:tcPr>
          <w:p w14:paraId="0340505F" w14:textId="77777777" w:rsidR="00580C15" w:rsidRPr="00E108B7" w:rsidRDefault="00580C15">
            <w:pPr>
              <w:pStyle w:val="xmsonormal"/>
              <w:jc w:val="center"/>
            </w:pPr>
            <w:r w:rsidRPr="00E108B7">
              <w:rPr>
                <w:rFonts w:ascii="Times New Roman" w:hAnsi="Times New Roman" w:cs="Times New Roman"/>
                <w:b/>
                <w:bCs/>
                <w:sz w:val="24"/>
                <w:szCs w:val="24"/>
              </w:rPr>
              <w:t>Catégorie 1</w:t>
            </w:r>
          </w:p>
        </w:tc>
        <w:tc>
          <w:tcPr>
            <w:tcW w:w="1985" w:type="dxa"/>
            <w:tcBorders>
              <w:top w:val="single" w:sz="8" w:space="0" w:color="auto"/>
              <w:left w:val="nil"/>
              <w:bottom w:val="single" w:sz="8" w:space="0" w:color="auto"/>
              <w:right w:val="single" w:sz="8" w:space="0" w:color="auto"/>
            </w:tcBorders>
            <w:shd w:val="clear" w:color="auto" w:fill="D9E1F2"/>
            <w:tcMar>
              <w:top w:w="0" w:type="dxa"/>
              <w:left w:w="70" w:type="dxa"/>
              <w:bottom w:w="0" w:type="dxa"/>
              <w:right w:w="70" w:type="dxa"/>
            </w:tcMar>
            <w:vAlign w:val="center"/>
            <w:hideMark/>
          </w:tcPr>
          <w:p w14:paraId="55580E5F" w14:textId="77777777" w:rsidR="00580C15" w:rsidRPr="00E108B7" w:rsidRDefault="00580C15">
            <w:pPr>
              <w:pStyle w:val="xmsonormal"/>
              <w:jc w:val="center"/>
            </w:pPr>
            <w:r w:rsidRPr="00E108B7">
              <w:rPr>
                <w:rFonts w:ascii="Times New Roman" w:hAnsi="Times New Roman" w:cs="Times New Roman"/>
                <w:b/>
                <w:bCs/>
                <w:sz w:val="24"/>
                <w:szCs w:val="24"/>
              </w:rPr>
              <w:t>Catégories 2 à 4</w:t>
            </w:r>
          </w:p>
        </w:tc>
        <w:tc>
          <w:tcPr>
            <w:tcW w:w="1731"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center"/>
            <w:hideMark/>
          </w:tcPr>
          <w:p w14:paraId="2E2C45C1" w14:textId="77777777" w:rsidR="00580C15" w:rsidRPr="00E108B7" w:rsidRDefault="00580C15">
            <w:pPr>
              <w:pStyle w:val="xmsonormal"/>
              <w:jc w:val="center"/>
            </w:pPr>
            <w:r w:rsidRPr="00E108B7">
              <w:rPr>
                <w:rFonts w:ascii="Times New Roman" w:hAnsi="Times New Roman" w:cs="Times New Roman"/>
                <w:b/>
                <w:bCs/>
                <w:sz w:val="24"/>
                <w:szCs w:val="24"/>
              </w:rPr>
              <w:t>Total</w:t>
            </w:r>
          </w:p>
        </w:tc>
      </w:tr>
      <w:tr w:rsidR="00580C15" w14:paraId="27577DF4" w14:textId="77777777" w:rsidTr="00580C15">
        <w:trPr>
          <w:trHeight w:val="600"/>
        </w:trPr>
        <w:tc>
          <w:tcPr>
            <w:tcW w:w="377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71882C6" w14:textId="77777777" w:rsidR="00580C15" w:rsidRPr="00E108B7" w:rsidRDefault="00580C15">
            <w:pPr>
              <w:pStyle w:val="xmsonormal"/>
            </w:pPr>
            <w:r w:rsidRPr="00E108B7">
              <w:rPr>
                <w:rFonts w:ascii="Times New Roman" w:hAnsi="Times New Roman" w:cs="Times New Roman"/>
                <w:sz w:val="24"/>
                <w:szCs w:val="24"/>
              </w:rPr>
              <w:t>Heures supplémentaires obligatoires</w:t>
            </w:r>
          </w:p>
        </w:tc>
        <w:tc>
          <w:tcPr>
            <w:tcW w:w="147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5D9A9B" w14:textId="77777777" w:rsidR="00580C15" w:rsidRPr="00E108B7" w:rsidRDefault="00580C15">
            <w:pPr>
              <w:pStyle w:val="xmsonormal"/>
              <w:jc w:val="center"/>
            </w:pPr>
            <w:r w:rsidRPr="00E108B7">
              <w:rPr>
                <w:rFonts w:ascii="Times New Roman" w:hAnsi="Times New Roman" w:cs="Times New Roman"/>
                <w:sz w:val="24"/>
                <w:szCs w:val="24"/>
              </w:rPr>
              <w:t>12 661</w:t>
            </w:r>
          </w:p>
        </w:tc>
        <w:tc>
          <w:tcPr>
            <w:tcW w:w="19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00FA61" w14:textId="77777777" w:rsidR="00580C15" w:rsidRPr="00E108B7" w:rsidRDefault="00580C15">
            <w:pPr>
              <w:pStyle w:val="xmsonormal"/>
              <w:jc w:val="center"/>
            </w:pPr>
            <w:r w:rsidRPr="00E108B7">
              <w:rPr>
                <w:rFonts w:ascii="Times New Roman" w:hAnsi="Times New Roman" w:cs="Times New Roman"/>
                <w:sz w:val="24"/>
                <w:szCs w:val="24"/>
              </w:rPr>
              <w:t>2 044</w:t>
            </w:r>
          </w:p>
        </w:tc>
        <w:tc>
          <w:tcPr>
            <w:tcW w:w="173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C9265C8" w14:textId="77777777" w:rsidR="00580C15" w:rsidRPr="00E108B7" w:rsidRDefault="00580C15">
            <w:pPr>
              <w:pStyle w:val="xmsonormal"/>
              <w:jc w:val="center"/>
            </w:pPr>
            <w:r w:rsidRPr="00E108B7">
              <w:rPr>
                <w:rFonts w:ascii="Times New Roman" w:hAnsi="Times New Roman" w:cs="Times New Roman"/>
                <w:sz w:val="24"/>
                <w:szCs w:val="24"/>
              </w:rPr>
              <w:t>14 705</w:t>
            </w:r>
          </w:p>
        </w:tc>
      </w:tr>
      <w:tr w:rsidR="00580C15" w14:paraId="3FB49E81" w14:textId="77777777" w:rsidTr="00580C15">
        <w:trPr>
          <w:trHeight w:val="600"/>
        </w:trPr>
        <w:tc>
          <w:tcPr>
            <w:tcW w:w="377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287BA60" w14:textId="77777777" w:rsidR="00580C15" w:rsidRPr="00E108B7" w:rsidRDefault="00580C15">
            <w:pPr>
              <w:pStyle w:val="xmsonormal"/>
            </w:pPr>
            <w:r w:rsidRPr="00E108B7">
              <w:rPr>
                <w:rFonts w:ascii="Times New Roman" w:hAnsi="Times New Roman" w:cs="Times New Roman"/>
                <w:sz w:val="24"/>
                <w:szCs w:val="24"/>
              </w:rPr>
              <w:t>Heures travaillées totales</w:t>
            </w:r>
          </w:p>
        </w:tc>
        <w:tc>
          <w:tcPr>
            <w:tcW w:w="147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05F2AF" w14:textId="77777777" w:rsidR="00580C15" w:rsidRPr="00E108B7" w:rsidRDefault="00580C15">
            <w:pPr>
              <w:pStyle w:val="xmsonormal"/>
              <w:jc w:val="center"/>
            </w:pPr>
            <w:r w:rsidRPr="00E108B7">
              <w:rPr>
                <w:rFonts w:ascii="Times New Roman" w:hAnsi="Times New Roman" w:cs="Times New Roman"/>
                <w:sz w:val="24"/>
                <w:szCs w:val="24"/>
              </w:rPr>
              <w:t>4 270 000</w:t>
            </w:r>
          </w:p>
        </w:tc>
        <w:tc>
          <w:tcPr>
            <w:tcW w:w="19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3BD613" w14:textId="77777777" w:rsidR="00580C15" w:rsidRPr="00E108B7" w:rsidRDefault="00580C15">
            <w:pPr>
              <w:pStyle w:val="xmsonormal"/>
              <w:jc w:val="center"/>
            </w:pPr>
            <w:r w:rsidRPr="00E108B7">
              <w:rPr>
                <w:rFonts w:ascii="Times New Roman" w:hAnsi="Times New Roman" w:cs="Times New Roman"/>
                <w:sz w:val="24"/>
                <w:szCs w:val="24"/>
              </w:rPr>
              <w:t>10 979 000</w:t>
            </w:r>
          </w:p>
        </w:tc>
        <w:tc>
          <w:tcPr>
            <w:tcW w:w="173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1908114" w14:textId="77777777" w:rsidR="00580C15" w:rsidRPr="00E108B7" w:rsidRDefault="00580C15">
            <w:pPr>
              <w:pStyle w:val="xmsonormal"/>
              <w:jc w:val="center"/>
            </w:pPr>
            <w:r w:rsidRPr="00E108B7">
              <w:rPr>
                <w:rFonts w:ascii="Times New Roman" w:hAnsi="Times New Roman" w:cs="Times New Roman"/>
                <w:sz w:val="24"/>
                <w:szCs w:val="24"/>
              </w:rPr>
              <w:t>15 249 000</w:t>
            </w:r>
          </w:p>
        </w:tc>
      </w:tr>
      <w:tr w:rsidR="00580C15" w14:paraId="18ECEC58" w14:textId="77777777" w:rsidTr="00580C15">
        <w:trPr>
          <w:trHeight w:val="600"/>
        </w:trPr>
        <w:tc>
          <w:tcPr>
            <w:tcW w:w="377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F318439" w14:textId="77777777" w:rsidR="00580C15" w:rsidRPr="00E108B7" w:rsidRDefault="00580C15">
            <w:pPr>
              <w:pStyle w:val="xmsonormal"/>
            </w:pPr>
            <w:r w:rsidRPr="00E108B7">
              <w:rPr>
                <w:rFonts w:ascii="Times New Roman" w:hAnsi="Times New Roman" w:cs="Times New Roman"/>
                <w:sz w:val="24"/>
                <w:szCs w:val="24"/>
              </w:rPr>
              <w:t>Taux de TSO</w:t>
            </w:r>
          </w:p>
        </w:tc>
        <w:tc>
          <w:tcPr>
            <w:tcW w:w="147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AA2B83" w14:textId="77777777" w:rsidR="00580C15" w:rsidRPr="00E108B7" w:rsidRDefault="00580C15">
            <w:pPr>
              <w:pStyle w:val="xmsonormal"/>
              <w:jc w:val="center"/>
            </w:pPr>
            <w:r w:rsidRPr="00E108B7">
              <w:rPr>
                <w:rFonts w:ascii="Times New Roman" w:hAnsi="Times New Roman" w:cs="Times New Roman"/>
                <w:sz w:val="24"/>
                <w:szCs w:val="24"/>
              </w:rPr>
              <w:t>0,30 %</w:t>
            </w:r>
          </w:p>
        </w:tc>
        <w:tc>
          <w:tcPr>
            <w:tcW w:w="19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0543242" w14:textId="77777777" w:rsidR="00580C15" w:rsidRPr="00E108B7" w:rsidRDefault="00580C15">
            <w:pPr>
              <w:pStyle w:val="xmsonormal"/>
              <w:jc w:val="center"/>
            </w:pPr>
            <w:r w:rsidRPr="00E108B7">
              <w:rPr>
                <w:rFonts w:ascii="Times New Roman" w:hAnsi="Times New Roman" w:cs="Times New Roman"/>
                <w:sz w:val="24"/>
                <w:szCs w:val="24"/>
              </w:rPr>
              <w:t>0,02 %</w:t>
            </w:r>
          </w:p>
        </w:tc>
        <w:tc>
          <w:tcPr>
            <w:tcW w:w="173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18D696" w14:textId="77777777" w:rsidR="00580C15" w:rsidRPr="00E108B7" w:rsidRDefault="00580C15">
            <w:pPr>
              <w:pStyle w:val="xmsonormal"/>
              <w:jc w:val="center"/>
            </w:pPr>
            <w:r w:rsidRPr="00E108B7">
              <w:rPr>
                <w:rFonts w:ascii="Times New Roman" w:hAnsi="Times New Roman" w:cs="Times New Roman"/>
                <w:sz w:val="24"/>
                <w:szCs w:val="24"/>
              </w:rPr>
              <w:t>0,10 %</w:t>
            </w:r>
          </w:p>
        </w:tc>
      </w:tr>
      <w:tr w:rsidR="00580C15" w14:paraId="5F77FC0B" w14:textId="77777777" w:rsidTr="00580C15">
        <w:trPr>
          <w:trHeight w:val="1776"/>
        </w:trPr>
        <w:tc>
          <w:tcPr>
            <w:tcW w:w="8961" w:type="dxa"/>
            <w:gridSpan w:val="4"/>
            <w:tcMar>
              <w:top w:w="0" w:type="dxa"/>
              <w:left w:w="70" w:type="dxa"/>
              <w:bottom w:w="0" w:type="dxa"/>
              <w:right w:w="70" w:type="dxa"/>
            </w:tcMar>
            <w:vAlign w:val="center"/>
            <w:hideMark/>
          </w:tcPr>
          <w:p w14:paraId="5433BA1E" w14:textId="77777777" w:rsidR="00580C15" w:rsidRPr="00E108B7" w:rsidRDefault="00580C15" w:rsidP="00E108B7">
            <w:pPr>
              <w:pStyle w:val="xmsonormal"/>
              <w:jc w:val="both"/>
              <w:rPr>
                <w:sz w:val="20"/>
                <w:szCs w:val="20"/>
              </w:rPr>
            </w:pPr>
            <w:r w:rsidRPr="00E108B7">
              <w:rPr>
                <w:rFonts w:ascii="Times New Roman" w:hAnsi="Times New Roman" w:cs="Times New Roman"/>
                <w:spacing w:val="-2"/>
                <w:sz w:val="20"/>
                <w:szCs w:val="20"/>
              </w:rPr>
              <w:t xml:space="preserve">1. Entre avril et septembre 2021, les données sur les heures supplémentaires obligatoires étaient compilées uniquement par les établissements </w:t>
            </w:r>
            <w:r w:rsidRPr="00E108B7">
              <w:rPr>
                <w:rFonts w:ascii="Times New Roman" w:hAnsi="Times New Roman" w:cs="Times New Roman"/>
                <w:spacing w:val="-2"/>
                <w:sz w:val="20"/>
                <w:szCs w:val="20"/>
                <w:u w:val="single"/>
              </w:rPr>
              <w:t>publics,</w:t>
            </w:r>
            <w:r w:rsidRPr="00E108B7">
              <w:rPr>
                <w:rFonts w:ascii="Times New Roman" w:hAnsi="Times New Roman" w:cs="Times New Roman"/>
                <w:spacing w:val="-2"/>
                <w:sz w:val="20"/>
                <w:szCs w:val="20"/>
              </w:rPr>
              <w:t xml:space="preserve"> dans un outil Excel transmis au MSSS hebdomadairement. À partir du 26 septembre 2021, le processus de transmission de ces informations a été standardisé via un outil de gestion des redditions et les données recueillies sont transmises aux deux semaines (fréquence de périodes de paie), pour les établissements </w:t>
            </w:r>
            <w:r w:rsidRPr="00E108B7">
              <w:rPr>
                <w:rFonts w:ascii="Times New Roman" w:hAnsi="Times New Roman" w:cs="Times New Roman"/>
                <w:spacing w:val="-2"/>
                <w:sz w:val="20"/>
                <w:szCs w:val="20"/>
                <w:u w:val="single"/>
              </w:rPr>
              <w:t>publics et privés conventionnés</w:t>
            </w:r>
            <w:r w:rsidRPr="00E108B7">
              <w:rPr>
                <w:rFonts w:ascii="Times New Roman" w:hAnsi="Times New Roman" w:cs="Times New Roman"/>
                <w:spacing w:val="-2"/>
                <w:sz w:val="20"/>
                <w:szCs w:val="20"/>
              </w:rPr>
              <w:t>.</w:t>
            </w:r>
          </w:p>
        </w:tc>
      </w:tr>
      <w:tr w:rsidR="00580C15" w14:paraId="28D5F103" w14:textId="77777777" w:rsidTr="00580C15">
        <w:trPr>
          <w:trHeight w:val="288"/>
        </w:trPr>
        <w:tc>
          <w:tcPr>
            <w:tcW w:w="8961" w:type="dxa"/>
            <w:gridSpan w:val="4"/>
            <w:noWrap/>
            <w:tcMar>
              <w:top w:w="0" w:type="dxa"/>
              <w:left w:w="70" w:type="dxa"/>
              <w:bottom w:w="0" w:type="dxa"/>
              <w:right w:w="70" w:type="dxa"/>
            </w:tcMar>
            <w:vAlign w:val="center"/>
            <w:hideMark/>
          </w:tcPr>
          <w:p w14:paraId="2C89985F" w14:textId="3191712A" w:rsidR="00580C15" w:rsidRPr="00E108B7" w:rsidRDefault="00580C15" w:rsidP="00E108B7">
            <w:pPr>
              <w:pStyle w:val="xmsonormal"/>
              <w:jc w:val="both"/>
              <w:rPr>
                <w:rFonts w:ascii="Times New Roman" w:hAnsi="Times New Roman" w:cs="Times New Roman"/>
                <w:sz w:val="20"/>
                <w:szCs w:val="20"/>
              </w:rPr>
            </w:pPr>
            <w:r w:rsidRPr="00E108B7">
              <w:rPr>
                <w:rFonts w:ascii="Times New Roman" w:hAnsi="Times New Roman" w:cs="Times New Roman"/>
                <w:sz w:val="20"/>
                <w:szCs w:val="20"/>
              </w:rPr>
              <w:t>2. La période de transition du 26 septembre au 9 octobre 2021 est exclue de la moyenne.</w:t>
            </w:r>
          </w:p>
          <w:p w14:paraId="33AF3326" w14:textId="77777777" w:rsidR="0017123D" w:rsidRPr="00E108B7" w:rsidRDefault="0017123D" w:rsidP="00E108B7">
            <w:pPr>
              <w:pStyle w:val="xmsonormal"/>
              <w:jc w:val="both"/>
              <w:rPr>
                <w:rFonts w:ascii="Times New Roman" w:hAnsi="Times New Roman" w:cs="Times New Roman"/>
                <w:sz w:val="20"/>
                <w:szCs w:val="20"/>
              </w:rPr>
            </w:pPr>
          </w:p>
          <w:p w14:paraId="190D2876" w14:textId="659BFEC4" w:rsidR="0017123D" w:rsidRPr="00E108B7" w:rsidRDefault="0017123D" w:rsidP="00E108B7">
            <w:pPr>
              <w:pStyle w:val="xmsonormal"/>
              <w:jc w:val="both"/>
              <w:rPr>
                <w:sz w:val="20"/>
                <w:szCs w:val="20"/>
              </w:rPr>
            </w:pPr>
          </w:p>
        </w:tc>
      </w:tr>
    </w:tbl>
    <w:p w14:paraId="756BE76C" w14:textId="77777777" w:rsidR="0017123D" w:rsidRPr="0017123D" w:rsidRDefault="0017123D" w:rsidP="00E108B7">
      <w:pPr>
        <w:pStyle w:val="Paragraphedeliste"/>
        <w:numPr>
          <w:ilvl w:val="0"/>
          <w:numId w:val="5"/>
        </w:numPr>
        <w:jc w:val="both"/>
      </w:pPr>
      <w:r w:rsidRPr="0017123D">
        <w:rPr>
          <w:rFonts w:asciiTheme="minorHAnsi" w:hAnsiTheme="minorHAnsi" w:cstheme="minorHAnsi"/>
          <w:b/>
          <w:bCs/>
        </w:rPr>
        <w:t>La liste de l’ensemble des fermetures complètes ou partielles de services en santé depuis juin 2021, par région et établissement, ainsi que la liste des CLSC fermés ou partiellement fermés depuis juin 2021</w:t>
      </w:r>
      <w:r w:rsidRPr="0017123D">
        <w:rPr>
          <w:rFonts w:ascii="Arial" w:hAnsi="Arial" w:cs="Arial"/>
          <w:color w:val="ED7D31"/>
        </w:rPr>
        <w:t>.</w:t>
      </w:r>
    </w:p>
    <w:p w14:paraId="7DA4900D" w14:textId="77777777" w:rsidR="0017123D" w:rsidRDefault="0017123D" w:rsidP="0017123D">
      <w:pPr>
        <w:pStyle w:val="Paragraphedeliste"/>
        <w:jc w:val="both"/>
        <w:rPr>
          <w:rFonts w:asciiTheme="minorHAnsi" w:hAnsiTheme="minorHAnsi" w:cstheme="minorHAnsi"/>
          <w:b/>
          <w:bCs/>
        </w:rPr>
      </w:pPr>
    </w:p>
    <w:p w14:paraId="2B32D04C" w14:textId="52291C78" w:rsidR="0017123D" w:rsidRDefault="0017123D" w:rsidP="00794FD5">
      <w:pPr>
        <w:jc w:val="both"/>
      </w:pPr>
      <w:r>
        <w:t xml:space="preserve">Pour le volet </w:t>
      </w:r>
      <w:r w:rsidR="007D5CED">
        <w:t>s</w:t>
      </w:r>
      <w:r>
        <w:t xml:space="preserve">oins intensif, il n’y a pas eu de fermeture complète d’unité de soins intensifs. Pour </w:t>
      </w:r>
      <w:r w:rsidR="00794FD5">
        <w:t>les unités</w:t>
      </w:r>
      <w:r>
        <w:t xml:space="preserve"> de soins « réguliers » ainsi que les soins intensifs, il peut y avoir des fermetures </w:t>
      </w:r>
      <w:r w:rsidRPr="00794FD5">
        <w:rPr>
          <w:u w:val="single"/>
        </w:rPr>
        <w:t>de lits</w:t>
      </w:r>
      <w:r>
        <w:t xml:space="preserve"> dépendamment des besoins et des ressources. Ces fermetures et ouvertures de lits peuvent changer quotidiennement. Il n’est donc pas possible de transmettre une information plus précise depuis le mois de juin 2021. Pour le volet obstétrique et néonatalogie et urgences, les infos demandées se trouvent en pièces jointes</w:t>
      </w:r>
      <w:r w:rsidR="00794FD5">
        <w:t xml:space="preserve"> (document 1 à 3).</w:t>
      </w:r>
    </w:p>
    <w:p w14:paraId="1EB3702E" w14:textId="77777777" w:rsidR="0017123D" w:rsidRDefault="0017123D" w:rsidP="0017123D">
      <w:pPr>
        <w:jc w:val="both"/>
      </w:pPr>
    </w:p>
    <w:sectPr w:rsidR="0017123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2D691" w14:textId="77777777" w:rsidR="00580C15" w:rsidRDefault="00580C15" w:rsidP="00580C15">
      <w:r>
        <w:separator/>
      </w:r>
    </w:p>
  </w:endnote>
  <w:endnote w:type="continuationSeparator" w:id="0">
    <w:p w14:paraId="46F2EA10" w14:textId="77777777" w:rsidR="00580C15" w:rsidRDefault="00580C15" w:rsidP="00580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77F3" w14:textId="77777777" w:rsidR="007D5CED" w:rsidRDefault="007D5CE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95268" w14:textId="77777777" w:rsidR="007D5CED" w:rsidRDefault="007D5CE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1170" w14:textId="77777777" w:rsidR="007D5CED" w:rsidRDefault="007D5C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EE816" w14:textId="77777777" w:rsidR="00580C15" w:rsidRDefault="00580C15" w:rsidP="00580C15">
      <w:r>
        <w:separator/>
      </w:r>
    </w:p>
  </w:footnote>
  <w:footnote w:type="continuationSeparator" w:id="0">
    <w:p w14:paraId="50DFF6EF" w14:textId="77777777" w:rsidR="00580C15" w:rsidRDefault="00580C15" w:rsidP="00580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B6704" w14:textId="77777777" w:rsidR="007D5CED" w:rsidRDefault="007D5CE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43FBA" w14:textId="77777777" w:rsidR="007D5CED" w:rsidRDefault="007D5CE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DF904" w14:textId="77777777" w:rsidR="007D5CED" w:rsidRDefault="007D5CE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96487"/>
    <w:multiLevelType w:val="multilevel"/>
    <w:tmpl w:val="D3E2FF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CC3AE3"/>
    <w:multiLevelType w:val="multilevel"/>
    <w:tmpl w:val="C55A8BA2"/>
    <w:lvl w:ilvl="0">
      <w:start w:val="1"/>
      <w:numFmt w:val="bullet"/>
      <w:lvlText w:val="o"/>
      <w:lvlJc w:val="left"/>
      <w:pPr>
        <w:tabs>
          <w:tab w:val="num" w:pos="1440"/>
        </w:tabs>
        <w:ind w:left="1440" w:hanging="360"/>
      </w:pPr>
      <w:rPr>
        <w:rFonts w:ascii="Courier New" w:hAnsi="Courier New" w:cs="Times New Roman" w:hint="default"/>
        <w:sz w:val="20"/>
      </w:rPr>
    </w:lvl>
    <w:lvl w:ilvl="1">
      <w:start w:val="1"/>
      <w:numFmt w:val="bullet"/>
      <w:lvlText w:val=""/>
      <w:lvlJc w:val="left"/>
      <w:pPr>
        <w:tabs>
          <w:tab w:val="num" w:pos="2160"/>
        </w:tabs>
        <w:ind w:left="2160" w:hanging="360"/>
      </w:pPr>
      <w:rPr>
        <w:rFonts w:ascii="Symbol" w:hAnsi="Symbol" w:hint="default"/>
        <w:sz w:val="20"/>
      </w:rPr>
    </w:lvl>
    <w:lvl w:ilvl="2">
      <w:start w:val="1"/>
      <w:numFmt w:val="bullet"/>
      <w:lvlText w:val="o"/>
      <w:lvlJc w:val="left"/>
      <w:pPr>
        <w:tabs>
          <w:tab w:val="num" w:pos="2880"/>
        </w:tabs>
        <w:ind w:left="2880" w:hanging="360"/>
      </w:pPr>
      <w:rPr>
        <w:rFonts w:ascii="Courier New" w:hAnsi="Courier New" w:cs="Times New Roman" w:hint="default"/>
        <w:sz w:val="20"/>
      </w:rPr>
    </w:lvl>
    <w:lvl w:ilvl="3">
      <w:start w:val="1"/>
      <w:numFmt w:val="bullet"/>
      <w:lvlText w:val="o"/>
      <w:lvlJc w:val="left"/>
      <w:pPr>
        <w:tabs>
          <w:tab w:val="num" w:pos="3600"/>
        </w:tabs>
        <w:ind w:left="3600" w:hanging="360"/>
      </w:pPr>
      <w:rPr>
        <w:rFonts w:ascii="Courier New" w:hAnsi="Courier New" w:cs="Times New Roman" w:hint="default"/>
        <w:sz w:val="20"/>
      </w:rPr>
    </w:lvl>
    <w:lvl w:ilvl="4">
      <w:start w:val="1"/>
      <w:numFmt w:val="bullet"/>
      <w:lvlText w:val="o"/>
      <w:lvlJc w:val="left"/>
      <w:pPr>
        <w:tabs>
          <w:tab w:val="num" w:pos="4320"/>
        </w:tabs>
        <w:ind w:left="4320" w:hanging="360"/>
      </w:pPr>
      <w:rPr>
        <w:rFonts w:ascii="Courier New" w:hAnsi="Courier New" w:cs="Times New Roman" w:hint="default"/>
        <w:sz w:val="20"/>
      </w:rPr>
    </w:lvl>
    <w:lvl w:ilvl="5">
      <w:start w:val="1"/>
      <w:numFmt w:val="bullet"/>
      <w:lvlText w:val="o"/>
      <w:lvlJc w:val="left"/>
      <w:pPr>
        <w:tabs>
          <w:tab w:val="num" w:pos="5040"/>
        </w:tabs>
        <w:ind w:left="5040" w:hanging="360"/>
      </w:pPr>
      <w:rPr>
        <w:rFonts w:ascii="Courier New" w:hAnsi="Courier New" w:cs="Times New Roman" w:hint="default"/>
        <w:sz w:val="20"/>
      </w:rPr>
    </w:lvl>
    <w:lvl w:ilvl="6">
      <w:start w:val="1"/>
      <w:numFmt w:val="bullet"/>
      <w:lvlText w:val="o"/>
      <w:lvlJc w:val="left"/>
      <w:pPr>
        <w:tabs>
          <w:tab w:val="num" w:pos="5760"/>
        </w:tabs>
        <w:ind w:left="5760" w:hanging="360"/>
      </w:pPr>
      <w:rPr>
        <w:rFonts w:ascii="Courier New" w:hAnsi="Courier New" w:cs="Times New Roman" w:hint="default"/>
        <w:sz w:val="20"/>
      </w:rPr>
    </w:lvl>
    <w:lvl w:ilvl="7">
      <w:start w:val="1"/>
      <w:numFmt w:val="bullet"/>
      <w:lvlText w:val="o"/>
      <w:lvlJc w:val="left"/>
      <w:pPr>
        <w:tabs>
          <w:tab w:val="num" w:pos="6480"/>
        </w:tabs>
        <w:ind w:left="6480" w:hanging="360"/>
      </w:pPr>
      <w:rPr>
        <w:rFonts w:ascii="Courier New" w:hAnsi="Courier New" w:cs="Times New Roman" w:hint="default"/>
        <w:sz w:val="20"/>
      </w:rPr>
    </w:lvl>
    <w:lvl w:ilvl="8">
      <w:start w:val="1"/>
      <w:numFmt w:val="bullet"/>
      <w:lvlText w:val="o"/>
      <w:lvlJc w:val="left"/>
      <w:pPr>
        <w:tabs>
          <w:tab w:val="num" w:pos="7200"/>
        </w:tabs>
        <w:ind w:left="7200" w:hanging="360"/>
      </w:pPr>
      <w:rPr>
        <w:rFonts w:ascii="Courier New" w:hAnsi="Courier New" w:cs="Times New Roman" w:hint="default"/>
        <w:sz w:val="20"/>
      </w:rPr>
    </w:lvl>
  </w:abstractNum>
  <w:abstractNum w:abstractNumId="2" w15:restartNumberingAfterBreak="0">
    <w:nsid w:val="4E2F2D61"/>
    <w:multiLevelType w:val="hybridMultilevel"/>
    <w:tmpl w:val="A40CE40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5C7B371A"/>
    <w:multiLevelType w:val="hybridMultilevel"/>
    <w:tmpl w:val="2154019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4" w15:restartNumberingAfterBreak="0">
    <w:nsid w:val="7C4E0501"/>
    <w:multiLevelType w:val="multilevel"/>
    <w:tmpl w:val="545CBC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comments="0" w:insDel="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C15"/>
    <w:rsid w:val="0017123D"/>
    <w:rsid w:val="004D3A71"/>
    <w:rsid w:val="00580C15"/>
    <w:rsid w:val="007904B7"/>
    <w:rsid w:val="00794FD5"/>
    <w:rsid w:val="007D5CED"/>
    <w:rsid w:val="008E5EA9"/>
    <w:rsid w:val="00996E5B"/>
    <w:rsid w:val="00C415FA"/>
    <w:rsid w:val="00E108B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3BB1B3"/>
  <w15:chartTrackingRefBased/>
  <w15:docId w15:val="{FF8C9647-66DD-4C9B-9632-543EE29B1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C15"/>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80C15"/>
    <w:pPr>
      <w:ind w:left="720"/>
    </w:pPr>
  </w:style>
  <w:style w:type="paragraph" w:customStyle="1" w:styleId="xmsonormal">
    <w:name w:val="x_msonormal"/>
    <w:basedOn w:val="Normal"/>
    <w:rsid w:val="00580C15"/>
    <w:rPr>
      <w:lang w:eastAsia="fr-CA"/>
    </w:rPr>
  </w:style>
  <w:style w:type="paragraph" w:styleId="En-tte">
    <w:name w:val="header"/>
    <w:basedOn w:val="Normal"/>
    <w:link w:val="En-tteCar"/>
    <w:uiPriority w:val="99"/>
    <w:unhideWhenUsed/>
    <w:rsid w:val="007D5CED"/>
    <w:pPr>
      <w:tabs>
        <w:tab w:val="center" w:pos="4320"/>
        <w:tab w:val="right" w:pos="8640"/>
      </w:tabs>
    </w:pPr>
  </w:style>
  <w:style w:type="character" w:customStyle="1" w:styleId="En-tteCar">
    <w:name w:val="En-tête Car"/>
    <w:basedOn w:val="Policepardfaut"/>
    <w:link w:val="En-tte"/>
    <w:uiPriority w:val="99"/>
    <w:rsid w:val="007D5CED"/>
    <w:rPr>
      <w:rFonts w:ascii="Calibri" w:hAnsi="Calibri" w:cs="Calibri"/>
    </w:rPr>
  </w:style>
  <w:style w:type="paragraph" w:styleId="Pieddepage">
    <w:name w:val="footer"/>
    <w:basedOn w:val="Normal"/>
    <w:link w:val="PieddepageCar"/>
    <w:uiPriority w:val="99"/>
    <w:unhideWhenUsed/>
    <w:rsid w:val="007D5CED"/>
    <w:pPr>
      <w:tabs>
        <w:tab w:val="center" w:pos="4320"/>
        <w:tab w:val="right" w:pos="8640"/>
      </w:tabs>
    </w:pPr>
  </w:style>
  <w:style w:type="character" w:customStyle="1" w:styleId="PieddepageCar">
    <w:name w:val="Pied de page Car"/>
    <w:basedOn w:val="Policepardfaut"/>
    <w:link w:val="Pieddepage"/>
    <w:uiPriority w:val="99"/>
    <w:rsid w:val="007D5CE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839240">
      <w:bodyDiv w:val="1"/>
      <w:marLeft w:val="0"/>
      <w:marRight w:val="0"/>
      <w:marTop w:val="0"/>
      <w:marBottom w:val="0"/>
      <w:divBdr>
        <w:top w:val="none" w:sz="0" w:space="0" w:color="auto"/>
        <w:left w:val="none" w:sz="0" w:space="0" w:color="auto"/>
        <w:bottom w:val="none" w:sz="0" w:space="0" w:color="auto"/>
        <w:right w:val="none" w:sz="0" w:space="0" w:color="auto"/>
      </w:divBdr>
    </w:div>
    <w:div w:id="169811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805</Words>
  <Characters>4433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Larivière</dc:creator>
  <cp:keywords/>
  <dc:description/>
  <cp:lastModifiedBy>Annie Larivière</cp:lastModifiedBy>
  <cp:revision>8</cp:revision>
  <dcterms:created xsi:type="dcterms:W3CDTF">2022-05-19T19:00:00Z</dcterms:created>
  <dcterms:modified xsi:type="dcterms:W3CDTF">2022-05-20T13:36:00Z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2022-05-19T19:00:37Z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fecbdc03-0898-42ab-bcbd-13e6470db056</vt:lpwstr>
  </property>
  <property fmtid="{D5CDD505-2E9C-101B-9397-08002B2CF9AE}" pid="8" name="MSIP_Label_6a7d8d5d-78e2-4a62-9fcd-016eb5e4c57c_ContentBits">
    <vt:lpwstr>0</vt:lpwstr>
  </property>
</Properties>
</file>